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021"/>
        <w:gridCol w:w="2021"/>
        <w:gridCol w:w="2021"/>
        <w:gridCol w:w="2030"/>
        <w:gridCol w:w="2024"/>
        <w:gridCol w:w="2024"/>
        <w:gridCol w:w="2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2" w:hRule="atLeast"/>
          <w:jc w:val="center"/>
        </w:trPr>
        <w:tc>
          <w:tcPr>
            <w:tcW w:w="5000" w:type="pct"/>
            <w:gridSpan w:val="7"/>
            <w:tcBorders>
              <w:top w:val="nil"/>
              <w:left w:val="nil"/>
              <w:bottom w:val="nil"/>
              <w:right w:val="nil"/>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bdr w:val="none" w:color="auto" w:sz="0" w:space="0"/>
                <w:lang w:val="en-US" w:eastAsia="zh-CN" w:bidi="ar"/>
              </w:rPr>
              <w:t>共青城市2022年地方政府债务限额及余额预算情况表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13"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714"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714"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714"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715" w:type="pct"/>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13" w:type="pct"/>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地   区</w:t>
            </w:r>
          </w:p>
        </w:tc>
        <w:tc>
          <w:tcPr>
            <w:tcW w:w="2142" w:type="pct"/>
            <w:gridSpan w:val="3"/>
            <w:tcBorders>
              <w:top w:val="single" w:color="000000" w:sz="8" w:space="0"/>
              <w:left w:val="nil"/>
              <w:bottom w:val="nil"/>
              <w:right w:val="single" w:color="000000" w:sz="8"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2022年债务限额</w:t>
            </w:r>
          </w:p>
        </w:tc>
        <w:tc>
          <w:tcPr>
            <w:tcW w:w="2143" w:type="pct"/>
            <w:gridSpan w:val="3"/>
            <w:tcBorders>
              <w:top w:val="single" w:color="000000" w:sz="8" w:space="0"/>
              <w:left w:val="nil"/>
              <w:bottom w:val="nil"/>
              <w:right w:val="nil"/>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2022年债务余额预计执行数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13" w:type="pct"/>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宋体" w:hAnsi="宋体" w:eastAsia="宋体" w:cs="宋体"/>
                <w:b/>
                <w:bCs/>
                <w:i w:val="0"/>
                <w:iCs w:val="0"/>
                <w:color w:val="000000"/>
                <w:sz w:val="22"/>
                <w:szCs w:val="22"/>
                <w:u w:val="none"/>
              </w:rPr>
            </w:pPr>
          </w:p>
        </w:tc>
        <w:tc>
          <w:tcPr>
            <w:tcW w:w="713" w:type="pct"/>
            <w:tcBorders>
              <w:top w:val="nil"/>
              <w:left w:val="nil"/>
              <w:bottom w:val="single" w:color="000000" w:sz="8" w:space="0"/>
              <w:right w:val="single" w:color="000000" w:sz="4" w:space="0"/>
            </w:tcBorders>
            <w:shd w:val="clear"/>
            <w:vAlign w:val="center"/>
          </w:tcPr>
          <w:p>
            <w:pPr>
              <w:rPr>
                <w:rFonts w:hint="eastAsia" w:ascii="宋体" w:hAnsi="宋体" w:eastAsia="宋体" w:cs="宋体"/>
                <w:b/>
                <w:bCs/>
                <w:i w:val="0"/>
                <w:iCs w:val="0"/>
                <w:color w:val="000000"/>
                <w:sz w:val="22"/>
                <w:szCs w:val="22"/>
                <w:u w:val="none"/>
              </w:rPr>
            </w:pPr>
          </w:p>
        </w:tc>
        <w:tc>
          <w:tcPr>
            <w:tcW w:w="713" w:type="pct"/>
            <w:tcBorders>
              <w:top w:val="single" w:color="000000" w:sz="4" w:space="0"/>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一般债务</w:t>
            </w:r>
          </w:p>
        </w:tc>
        <w:tc>
          <w:tcPr>
            <w:tcW w:w="714" w:type="pct"/>
            <w:tcBorders>
              <w:top w:val="single" w:color="000000" w:sz="4" w:space="0"/>
              <w:left w:val="single" w:color="000000" w:sz="4"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专项债务</w:t>
            </w:r>
          </w:p>
        </w:tc>
        <w:tc>
          <w:tcPr>
            <w:tcW w:w="714" w:type="pct"/>
            <w:tcBorders>
              <w:top w:val="nil"/>
              <w:left w:val="nil"/>
              <w:bottom w:val="single" w:color="000000" w:sz="8" w:space="0"/>
              <w:right w:val="nil"/>
            </w:tcBorders>
            <w:shd w:val="clear"/>
            <w:vAlign w:val="center"/>
          </w:tcPr>
          <w:p>
            <w:pPr>
              <w:rPr>
                <w:rFonts w:hint="eastAsia" w:ascii="宋体" w:hAnsi="宋体" w:eastAsia="宋体" w:cs="宋体"/>
                <w:b/>
                <w:bCs/>
                <w:i w:val="0"/>
                <w:iCs w:val="0"/>
                <w:color w:val="000000"/>
                <w:sz w:val="22"/>
                <w:szCs w:val="22"/>
                <w:u w:val="none"/>
              </w:rPr>
            </w:pPr>
          </w:p>
        </w:tc>
        <w:tc>
          <w:tcPr>
            <w:tcW w:w="714" w:type="pct"/>
            <w:tcBorders>
              <w:top w:val="single" w:color="000000" w:sz="4" w:space="0"/>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一般债务</w:t>
            </w:r>
          </w:p>
        </w:tc>
        <w:tc>
          <w:tcPr>
            <w:tcW w:w="715" w:type="pct"/>
            <w:tcBorders>
              <w:top w:val="single" w:color="000000" w:sz="4" w:space="0"/>
              <w:left w:val="single" w:color="000000" w:sz="4" w:space="0"/>
              <w:bottom w:val="single" w:color="000000" w:sz="8" w:space="0"/>
              <w:right w:val="nil"/>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专项债务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13" w:type="pct"/>
            <w:tcBorders>
              <w:top w:val="single" w:color="000000" w:sz="4" w:space="0"/>
              <w:left w:val="nil"/>
              <w:bottom w:val="single" w:color="000000" w:sz="4" w:space="0"/>
              <w:right w:val="single" w:color="000000" w:sz="8"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公  式</w:t>
            </w:r>
          </w:p>
        </w:tc>
        <w:tc>
          <w:tcPr>
            <w:tcW w:w="713"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A=B+C</w:t>
            </w:r>
          </w:p>
        </w:tc>
        <w:tc>
          <w:tcPr>
            <w:tcW w:w="7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B</w:t>
            </w:r>
          </w:p>
        </w:tc>
        <w:tc>
          <w:tcPr>
            <w:tcW w:w="714" w:type="pct"/>
            <w:tcBorders>
              <w:top w:val="single" w:color="000000" w:sz="4" w:space="0"/>
              <w:left w:val="single" w:color="000000" w:sz="4" w:space="0"/>
              <w:bottom w:val="single" w:color="000000" w:sz="4" w:space="0"/>
              <w:right w:val="single" w:color="000000" w:sz="8"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C</w:t>
            </w:r>
          </w:p>
        </w:tc>
        <w:tc>
          <w:tcPr>
            <w:tcW w:w="714"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D=E+F</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E</w:t>
            </w:r>
          </w:p>
        </w:tc>
        <w:tc>
          <w:tcPr>
            <w:tcW w:w="715" w:type="pct"/>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13" w:type="pct"/>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 xml:space="preserve">    共青城市</w:t>
            </w:r>
          </w:p>
        </w:tc>
        <w:tc>
          <w:tcPr>
            <w:tcW w:w="713" w:type="pct"/>
            <w:tcBorders>
              <w:top w:val="nil"/>
              <w:left w:val="nil"/>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72.15</w:t>
            </w:r>
          </w:p>
        </w:tc>
        <w:tc>
          <w:tcPr>
            <w:tcW w:w="713" w:type="pct"/>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29.25</w:t>
            </w:r>
          </w:p>
        </w:tc>
        <w:tc>
          <w:tcPr>
            <w:tcW w:w="714" w:type="pct"/>
            <w:tcBorders>
              <w:top w:val="nil"/>
              <w:left w:val="single" w:color="000000" w:sz="4" w:space="0"/>
              <w:bottom w:val="nil"/>
              <w:right w:val="single" w:color="000000" w:sz="8"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42.90</w:t>
            </w:r>
          </w:p>
        </w:tc>
        <w:tc>
          <w:tcPr>
            <w:tcW w:w="714" w:type="pct"/>
            <w:tcBorders>
              <w:top w:val="nil"/>
              <w:left w:val="nil"/>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62.47</w:t>
            </w:r>
          </w:p>
        </w:tc>
        <w:tc>
          <w:tcPr>
            <w:tcW w:w="714" w:type="pct"/>
            <w:tcBorders>
              <w:top w:val="nil"/>
              <w:left w:val="nil"/>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22.81</w:t>
            </w:r>
          </w:p>
        </w:tc>
        <w:tc>
          <w:tcPr>
            <w:tcW w:w="715" w:type="pct"/>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000" w:type="pct"/>
            <w:gridSpan w:val="7"/>
            <w:tcBorders>
              <w:top w:val="single" w:color="000000" w:sz="8" w:space="0"/>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注：1.本表反映上一年度本地区、本级及分地区地方政府债务限额及余额预计执行数。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000" w:type="pct"/>
            <w:gridSpan w:val="7"/>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2.本表由县级以上地方各级财政部门在同级人民代表大会批准预算后二十日内公开。</w:t>
            </w:r>
          </w:p>
        </w:tc>
      </w:tr>
    </w:tbl>
    <w:p>
      <w:r>
        <w:br w:type="page"/>
      </w:r>
    </w:p>
    <w:tbl>
      <w:tblPr>
        <w:tblW w:w="11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137"/>
        <w:gridCol w:w="2914"/>
        <w:gridCol w:w="2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2" w:hRule="atLeast"/>
          <w:jc w:val="center"/>
        </w:trPr>
        <w:tc>
          <w:tcPr>
            <w:tcW w:w="11659" w:type="dxa"/>
            <w:gridSpan w:val="3"/>
            <w:tcBorders>
              <w:top w:val="nil"/>
              <w:left w:val="nil"/>
              <w:bottom w:val="nil"/>
              <w:right w:val="nil"/>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bdr w:val="none" w:color="auto" w:sz="0" w:space="0"/>
                <w:lang w:val="en-US" w:eastAsia="zh-CN" w:bidi="ar"/>
              </w:rPr>
              <w:t>共青城市2022年地方政府一般债务余额情况表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jc w:val="center"/>
        </w:trPr>
        <w:tc>
          <w:tcPr>
            <w:tcW w:w="6139" w:type="dxa"/>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915" w:type="dxa"/>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0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6139" w:type="dxa"/>
            <w:tcBorders>
              <w:top w:val="single" w:color="000000" w:sz="8"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项    目</w:t>
            </w:r>
          </w:p>
        </w:tc>
        <w:tc>
          <w:tcPr>
            <w:tcW w:w="2915" w:type="dxa"/>
            <w:tcBorders>
              <w:top w:val="single" w:color="000000" w:sz="8"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预算数</w:t>
            </w:r>
          </w:p>
        </w:tc>
        <w:tc>
          <w:tcPr>
            <w:tcW w:w="2605" w:type="dxa"/>
            <w:tcBorders>
              <w:top w:val="single" w:color="000000" w:sz="8" w:space="0"/>
              <w:left w:val="nil"/>
              <w:bottom w:val="single" w:color="000000" w:sz="4" w:space="0"/>
              <w:right w:val="nil"/>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一、2021年末地方政府一般债务余额实际数</w:t>
            </w:r>
          </w:p>
        </w:tc>
        <w:tc>
          <w:tcPr>
            <w:tcW w:w="2915" w:type="dxa"/>
            <w:tcBorders>
              <w:top w:val="nil"/>
              <w:left w:val="nil"/>
              <w:bottom w:val="nil"/>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 xml:space="preserve"> </w:t>
            </w:r>
          </w:p>
        </w:tc>
        <w:tc>
          <w:tcPr>
            <w:tcW w:w="260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二、2022年末地方政府一般债务余额限额</w:t>
            </w:r>
          </w:p>
        </w:tc>
        <w:tc>
          <w:tcPr>
            <w:tcW w:w="2915" w:type="dxa"/>
            <w:tcBorders>
              <w:top w:val="nil"/>
              <w:left w:val="nil"/>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29.25</w:t>
            </w:r>
          </w:p>
        </w:tc>
        <w:tc>
          <w:tcPr>
            <w:tcW w:w="2605" w:type="dxa"/>
            <w:tcBorders>
              <w:top w:val="nil"/>
              <w:left w:val="nil"/>
              <w:bottom w:val="nil"/>
              <w:right w:val="nil"/>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三、2022年地方政府一般债务发行额</w:t>
            </w:r>
          </w:p>
        </w:tc>
        <w:tc>
          <w:tcPr>
            <w:tcW w:w="2915" w:type="dxa"/>
            <w:tcBorders>
              <w:top w:val="nil"/>
              <w:left w:val="nil"/>
              <w:bottom w:val="nil"/>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 xml:space="preserve"> </w:t>
            </w:r>
          </w:p>
        </w:tc>
        <w:tc>
          <w:tcPr>
            <w:tcW w:w="260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 xml:space="preserve">    中央转贷地方的国际金融组织和外国政府贷款</w:t>
            </w:r>
          </w:p>
        </w:tc>
        <w:tc>
          <w:tcPr>
            <w:tcW w:w="2915" w:type="dxa"/>
            <w:tcBorders>
              <w:top w:val="nil"/>
              <w:left w:val="nil"/>
              <w:bottom w:val="nil"/>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 xml:space="preserve">  </w:t>
            </w:r>
          </w:p>
        </w:tc>
        <w:tc>
          <w:tcPr>
            <w:tcW w:w="260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 xml:space="preserve">    2022年地方政府一般债券发行额</w:t>
            </w:r>
          </w:p>
        </w:tc>
        <w:tc>
          <w:tcPr>
            <w:tcW w:w="2915" w:type="dxa"/>
            <w:tcBorders>
              <w:top w:val="nil"/>
              <w:left w:val="nil"/>
              <w:bottom w:val="nil"/>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四、2022年地方政府一般债务还本额</w:t>
            </w:r>
          </w:p>
        </w:tc>
        <w:tc>
          <w:tcPr>
            <w:tcW w:w="2915" w:type="dxa"/>
            <w:tcBorders>
              <w:top w:val="nil"/>
              <w:left w:val="nil"/>
              <w:bottom w:val="nil"/>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五、2022年末地方政府一般债务余额预计执行数</w:t>
            </w:r>
          </w:p>
        </w:tc>
        <w:tc>
          <w:tcPr>
            <w:tcW w:w="2915" w:type="dxa"/>
            <w:tcBorders>
              <w:top w:val="nil"/>
              <w:left w:val="nil"/>
              <w:bottom w:val="nil"/>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六、2023年地方财政赤字</w:t>
            </w:r>
          </w:p>
        </w:tc>
        <w:tc>
          <w:tcPr>
            <w:tcW w:w="2915" w:type="dxa"/>
            <w:tcBorders>
              <w:top w:val="nil"/>
              <w:left w:val="nil"/>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1.29</w:t>
            </w:r>
          </w:p>
        </w:tc>
        <w:tc>
          <w:tcPr>
            <w:tcW w:w="2605" w:type="dxa"/>
            <w:tcBorders>
              <w:top w:val="nil"/>
              <w:left w:val="nil"/>
              <w:bottom w:val="nil"/>
              <w:right w:val="nil"/>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jc w:val="center"/>
        </w:trPr>
        <w:tc>
          <w:tcPr>
            <w:tcW w:w="6139" w:type="dxa"/>
            <w:tcBorders>
              <w:top w:val="nil"/>
              <w:left w:val="nil"/>
              <w:bottom w:val="single" w:color="000000" w:sz="8"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七、2023年地方政府一般债务余额限额</w:t>
            </w:r>
          </w:p>
        </w:tc>
        <w:tc>
          <w:tcPr>
            <w:tcW w:w="2915" w:type="dxa"/>
            <w:tcBorders>
              <w:top w:val="nil"/>
              <w:left w:val="nil"/>
              <w:bottom w:val="single" w:color="000000" w:sz="8" w:space="0"/>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30.54</w:t>
            </w:r>
          </w:p>
        </w:tc>
        <w:tc>
          <w:tcPr>
            <w:tcW w:w="2605" w:type="dxa"/>
            <w:tcBorders>
              <w:top w:val="nil"/>
              <w:left w:val="nil"/>
              <w:bottom w:val="single" w:color="000000" w:sz="8" w:space="0"/>
              <w:right w:val="nil"/>
            </w:tcBorders>
            <w:shd w:val="clear"/>
            <w:vAlign w:val="center"/>
          </w:tcPr>
          <w:p>
            <w:pPr>
              <w:rPr>
                <w:rFonts w:hint="eastAsia" w:ascii="宋体" w:hAnsi="宋体" w:eastAsia="宋体" w:cs="宋体"/>
                <w:i w:val="0"/>
                <w:iCs w:val="0"/>
                <w:color w:val="000000"/>
                <w:sz w:val="22"/>
                <w:szCs w:val="22"/>
                <w:u w:val="none"/>
              </w:rPr>
            </w:pPr>
          </w:p>
        </w:tc>
      </w:tr>
    </w:tbl>
    <w:p>
      <w:r>
        <w:br w:type="page"/>
      </w:r>
    </w:p>
    <w:tbl>
      <w:tblPr>
        <w:tblW w:w="11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137"/>
        <w:gridCol w:w="2914"/>
        <w:gridCol w:w="2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2" w:hRule="atLeast"/>
          <w:jc w:val="center"/>
        </w:trPr>
        <w:tc>
          <w:tcPr>
            <w:tcW w:w="11659" w:type="dxa"/>
            <w:gridSpan w:val="3"/>
            <w:tcBorders>
              <w:top w:val="nil"/>
              <w:left w:val="nil"/>
              <w:bottom w:val="nil"/>
              <w:right w:val="nil"/>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bdr w:val="none" w:color="auto" w:sz="0" w:space="0"/>
                <w:lang w:val="en-US" w:eastAsia="zh-CN" w:bidi="ar"/>
              </w:rPr>
              <w:t>共青城市2022年地方政府专项债务余额情况表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39" w:type="dxa"/>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915" w:type="dxa"/>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0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6139" w:type="dxa"/>
            <w:tcBorders>
              <w:top w:val="single" w:color="000000" w:sz="8"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项    目</w:t>
            </w:r>
          </w:p>
        </w:tc>
        <w:tc>
          <w:tcPr>
            <w:tcW w:w="2915" w:type="dxa"/>
            <w:tcBorders>
              <w:top w:val="single" w:color="000000" w:sz="8"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预算数</w:t>
            </w:r>
          </w:p>
        </w:tc>
        <w:tc>
          <w:tcPr>
            <w:tcW w:w="2605" w:type="dxa"/>
            <w:tcBorders>
              <w:top w:val="single" w:color="000000" w:sz="8" w:space="0"/>
              <w:left w:val="nil"/>
              <w:bottom w:val="single" w:color="000000" w:sz="4" w:space="0"/>
              <w:right w:val="nil"/>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一、2021年末地方政府专项债务余额实际数</w:t>
            </w:r>
          </w:p>
        </w:tc>
        <w:tc>
          <w:tcPr>
            <w:tcW w:w="2915" w:type="dxa"/>
            <w:tcBorders>
              <w:top w:val="nil"/>
              <w:left w:val="nil"/>
              <w:bottom w:val="nil"/>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二、2022年末地方政府专项债务余额限额</w:t>
            </w:r>
          </w:p>
        </w:tc>
        <w:tc>
          <w:tcPr>
            <w:tcW w:w="2915" w:type="dxa"/>
            <w:tcBorders>
              <w:top w:val="nil"/>
              <w:left w:val="nil"/>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42.90</w:t>
            </w:r>
          </w:p>
        </w:tc>
        <w:tc>
          <w:tcPr>
            <w:tcW w:w="2605" w:type="dxa"/>
            <w:tcBorders>
              <w:top w:val="nil"/>
              <w:left w:val="nil"/>
              <w:bottom w:val="nil"/>
              <w:right w:val="nil"/>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三、2022年地方政府专项债务发行额</w:t>
            </w:r>
          </w:p>
        </w:tc>
        <w:tc>
          <w:tcPr>
            <w:tcW w:w="2915" w:type="dxa"/>
            <w:tcBorders>
              <w:top w:val="nil"/>
              <w:left w:val="nil"/>
              <w:bottom w:val="nil"/>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四、2022年地方政府专项债务还本额</w:t>
            </w:r>
          </w:p>
        </w:tc>
        <w:tc>
          <w:tcPr>
            <w:tcW w:w="2915" w:type="dxa"/>
            <w:tcBorders>
              <w:top w:val="nil"/>
              <w:left w:val="nil"/>
              <w:bottom w:val="nil"/>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五、2022年末地方政府专项债务余额预计执行数</w:t>
            </w:r>
          </w:p>
        </w:tc>
        <w:tc>
          <w:tcPr>
            <w:tcW w:w="2915" w:type="dxa"/>
            <w:tcBorders>
              <w:top w:val="nil"/>
              <w:left w:val="nil"/>
              <w:bottom w:val="nil"/>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六、2023年地方政府专项债务新增限额</w:t>
            </w:r>
          </w:p>
        </w:tc>
        <w:tc>
          <w:tcPr>
            <w:tcW w:w="2915" w:type="dxa"/>
            <w:tcBorders>
              <w:top w:val="nil"/>
              <w:left w:val="nil"/>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8.57</w:t>
            </w:r>
          </w:p>
        </w:tc>
        <w:tc>
          <w:tcPr>
            <w:tcW w:w="2605" w:type="dxa"/>
            <w:tcBorders>
              <w:top w:val="nil"/>
              <w:left w:val="nil"/>
              <w:bottom w:val="nil"/>
              <w:right w:val="nil"/>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single" w:color="000000" w:sz="8"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七、2023年末地方政府专项债务余额限额</w:t>
            </w:r>
          </w:p>
        </w:tc>
        <w:tc>
          <w:tcPr>
            <w:tcW w:w="2915" w:type="dxa"/>
            <w:tcBorders>
              <w:top w:val="nil"/>
              <w:left w:val="nil"/>
              <w:bottom w:val="single" w:color="000000" w:sz="8" w:space="0"/>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51.47</w:t>
            </w:r>
          </w:p>
        </w:tc>
        <w:tc>
          <w:tcPr>
            <w:tcW w:w="2605" w:type="dxa"/>
            <w:tcBorders>
              <w:top w:val="nil"/>
              <w:left w:val="nil"/>
              <w:bottom w:val="single" w:color="000000" w:sz="8" w:space="0"/>
              <w:right w:val="nil"/>
            </w:tcBorders>
            <w:shd w:val="clear"/>
            <w:vAlign w:val="center"/>
          </w:tcPr>
          <w:p>
            <w:pPr>
              <w:rPr>
                <w:rFonts w:hint="eastAsia" w:ascii="宋体" w:hAnsi="宋体" w:eastAsia="宋体" w:cs="宋体"/>
                <w:i w:val="0"/>
                <w:iCs w:val="0"/>
                <w:color w:val="000000"/>
                <w:sz w:val="22"/>
                <w:szCs w:val="22"/>
                <w:u w:val="none"/>
              </w:rPr>
            </w:pPr>
          </w:p>
        </w:tc>
      </w:tr>
    </w:tbl>
    <w:p>
      <w:r>
        <w:br w:type="page"/>
      </w:r>
    </w:p>
    <w:tbl>
      <w:tblPr>
        <w:tblW w:w="133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56"/>
        <w:gridCol w:w="2246"/>
        <w:gridCol w:w="3468"/>
        <w:gridCol w:w="2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2" w:hRule="atLeast"/>
          <w:jc w:val="center"/>
        </w:trPr>
        <w:tc>
          <w:tcPr>
            <w:tcW w:w="13365" w:type="dxa"/>
            <w:gridSpan w:val="4"/>
            <w:tcBorders>
              <w:top w:val="nil"/>
              <w:left w:val="nil"/>
              <w:bottom w:val="nil"/>
              <w:right w:val="nil"/>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bdr w:val="none" w:color="auto" w:sz="0" w:space="0"/>
                <w:lang w:val="en-US" w:eastAsia="zh-CN" w:bidi="ar"/>
              </w:rPr>
              <w:t>共青城市</w:t>
            </w:r>
            <w:r>
              <w:rPr>
                <w:rFonts w:hint="eastAsia" w:ascii="宋体" w:hAnsi="宋体" w:eastAsia="宋体" w:cs="宋体"/>
                <w:b/>
                <w:bCs/>
                <w:i w:val="0"/>
                <w:iCs w:val="0"/>
                <w:color w:val="000000"/>
                <w:kern w:val="0"/>
                <w:sz w:val="30"/>
                <w:szCs w:val="30"/>
                <w:u w:val="none"/>
                <w:bdr w:val="none" w:color="auto" w:sz="0" w:space="0"/>
                <w:lang w:val="en-US" w:eastAsia="zh-CN" w:bidi="ar"/>
              </w:rPr>
              <w:t>2022年</w:t>
            </w:r>
            <w:r>
              <w:rPr>
                <w:rFonts w:ascii="宋体" w:hAnsi="宋体" w:eastAsia="宋体" w:cs="宋体"/>
                <w:b/>
                <w:bCs/>
                <w:i w:val="0"/>
                <w:iCs w:val="0"/>
                <w:color w:val="000000"/>
                <w:kern w:val="0"/>
                <w:sz w:val="30"/>
                <w:szCs w:val="30"/>
                <w:u w:val="none"/>
                <w:bdr w:val="none" w:color="auto" w:sz="0" w:space="0"/>
                <w:lang w:val="en-US" w:eastAsia="zh-CN" w:bidi="ar"/>
              </w:rPr>
              <w:t>地方政府债券发行及还本付息情况表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jc w:val="center"/>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99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7" w:hRule="atLeast"/>
          <w:jc w:val="center"/>
        </w:trPr>
        <w:tc>
          <w:tcPr>
            <w:tcW w:w="4656" w:type="dxa"/>
            <w:tcBorders>
              <w:top w:val="single" w:color="000000" w:sz="8" w:space="0"/>
              <w:left w:val="nil"/>
              <w:bottom w:val="single" w:color="000000" w:sz="8" w:space="0"/>
              <w:right w:val="nil"/>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项    目</w:t>
            </w:r>
          </w:p>
        </w:tc>
        <w:tc>
          <w:tcPr>
            <w:tcW w:w="2246" w:type="dxa"/>
            <w:tcBorders>
              <w:top w:val="single" w:color="000000" w:sz="8" w:space="0"/>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公式</w:t>
            </w:r>
          </w:p>
        </w:tc>
        <w:tc>
          <w:tcPr>
            <w:tcW w:w="3468" w:type="dxa"/>
            <w:tcBorders>
              <w:top w:val="single" w:color="000000" w:sz="8" w:space="0"/>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本地区</w:t>
            </w:r>
          </w:p>
        </w:tc>
        <w:tc>
          <w:tcPr>
            <w:tcW w:w="2995" w:type="dxa"/>
            <w:tcBorders>
              <w:top w:val="single" w:color="000000" w:sz="8" w:space="0"/>
              <w:left w:val="nil"/>
              <w:bottom w:val="single" w:color="000000" w:sz="8" w:space="0"/>
              <w:right w:val="nil"/>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一、2022年发行预计执行数</w:t>
            </w:r>
          </w:p>
        </w:tc>
        <w:tc>
          <w:tcPr>
            <w:tcW w:w="2246"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A=B+D</w:t>
            </w:r>
          </w:p>
        </w:tc>
        <w:tc>
          <w:tcPr>
            <w:tcW w:w="3468" w:type="dxa"/>
            <w:tcBorders>
              <w:top w:val="nil"/>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14.03</w:t>
            </w:r>
          </w:p>
        </w:tc>
        <w:tc>
          <w:tcPr>
            <w:tcW w:w="299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（一）一般债券</w:t>
            </w:r>
          </w:p>
        </w:tc>
        <w:tc>
          <w:tcPr>
            <w:tcW w:w="2246"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B</w:t>
            </w:r>
          </w:p>
        </w:tc>
        <w:tc>
          <w:tcPr>
            <w:tcW w:w="3468" w:type="dxa"/>
            <w:tcBorders>
              <w:top w:val="nil"/>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4.82</w:t>
            </w:r>
          </w:p>
        </w:tc>
        <w:tc>
          <w:tcPr>
            <w:tcW w:w="299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jc w:val="center"/>
        </w:trPr>
        <w:tc>
          <w:tcPr>
            <w:tcW w:w="4656" w:type="dxa"/>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 xml:space="preserve">   其中：再融资债券</w:t>
            </w:r>
          </w:p>
        </w:tc>
        <w:tc>
          <w:tcPr>
            <w:tcW w:w="2246"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w:t>
            </w:r>
          </w:p>
        </w:tc>
        <w:tc>
          <w:tcPr>
            <w:tcW w:w="3468" w:type="dxa"/>
            <w:tcBorders>
              <w:top w:val="nil"/>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3.27</w:t>
            </w:r>
          </w:p>
        </w:tc>
        <w:tc>
          <w:tcPr>
            <w:tcW w:w="299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（二）专项债券</w:t>
            </w:r>
          </w:p>
        </w:tc>
        <w:tc>
          <w:tcPr>
            <w:tcW w:w="2246"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D</w:t>
            </w:r>
          </w:p>
        </w:tc>
        <w:tc>
          <w:tcPr>
            <w:tcW w:w="3468" w:type="dxa"/>
            <w:tcBorders>
              <w:top w:val="nil"/>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9.21</w:t>
            </w:r>
          </w:p>
        </w:tc>
        <w:tc>
          <w:tcPr>
            <w:tcW w:w="299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jc w:val="center"/>
        </w:trPr>
        <w:tc>
          <w:tcPr>
            <w:tcW w:w="4656" w:type="dxa"/>
            <w:tcBorders>
              <w:top w:val="nil"/>
              <w:left w:val="nil"/>
              <w:bottom w:val="single" w:color="000000" w:sz="8" w:space="0"/>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 xml:space="preserve">   其中：再融资债券</w:t>
            </w:r>
          </w:p>
        </w:tc>
        <w:tc>
          <w:tcPr>
            <w:tcW w:w="2246" w:type="dxa"/>
            <w:tcBorders>
              <w:top w:val="nil"/>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E</w:t>
            </w:r>
          </w:p>
        </w:tc>
        <w:tc>
          <w:tcPr>
            <w:tcW w:w="3468" w:type="dxa"/>
            <w:tcBorders>
              <w:top w:val="nil"/>
              <w:left w:val="single" w:color="000000" w:sz="4" w:space="0"/>
              <w:bottom w:val="single" w:color="000000" w:sz="8" w:space="0"/>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0.20</w:t>
            </w:r>
          </w:p>
        </w:tc>
        <w:tc>
          <w:tcPr>
            <w:tcW w:w="2995" w:type="dxa"/>
            <w:tcBorders>
              <w:top w:val="nil"/>
              <w:left w:val="nil"/>
              <w:bottom w:val="single" w:color="000000" w:sz="8" w:space="0"/>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二、2022年还本预计执行数</w:t>
            </w:r>
          </w:p>
        </w:tc>
        <w:tc>
          <w:tcPr>
            <w:tcW w:w="2246"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F=G+H</w:t>
            </w:r>
          </w:p>
        </w:tc>
        <w:tc>
          <w:tcPr>
            <w:tcW w:w="3468" w:type="dxa"/>
            <w:tcBorders>
              <w:top w:val="nil"/>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4.88</w:t>
            </w:r>
          </w:p>
        </w:tc>
        <w:tc>
          <w:tcPr>
            <w:tcW w:w="299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（一）一般债券</w:t>
            </w:r>
          </w:p>
        </w:tc>
        <w:tc>
          <w:tcPr>
            <w:tcW w:w="2246"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G</w:t>
            </w:r>
          </w:p>
        </w:tc>
        <w:tc>
          <w:tcPr>
            <w:tcW w:w="3468" w:type="dxa"/>
            <w:tcBorders>
              <w:top w:val="nil"/>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3.27</w:t>
            </w:r>
          </w:p>
        </w:tc>
        <w:tc>
          <w:tcPr>
            <w:tcW w:w="299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656" w:type="dxa"/>
            <w:tcBorders>
              <w:top w:val="nil"/>
              <w:left w:val="nil"/>
              <w:bottom w:val="single" w:color="000000" w:sz="8" w:space="0"/>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（二）专项债券</w:t>
            </w:r>
          </w:p>
        </w:tc>
        <w:tc>
          <w:tcPr>
            <w:tcW w:w="2246" w:type="dxa"/>
            <w:tcBorders>
              <w:top w:val="nil"/>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H</w:t>
            </w:r>
          </w:p>
        </w:tc>
        <w:tc>
          <w:tcPr>
            <w:tcW w:w="3468" w:type="dxa"/>
            <w:tcBorders>
              <w:top w:val="nil"/>
              <w:left w:val="single" w:color="000000" w:sz="4" w:space="0"/>
              <w:bottom w:val="single" w:color="000000" w:sz="8" w:space="0"/>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1.61</w:t>
            </w:r>
          </w:p>
        </w:tc>
        <w:tc>
          <w:tcPr>
            <w:tcW w:w="2995" w:type="dxa"/>
            <w:tcBorders>
              <w:top w:val="nil"/>
              <w:left w:val="nil"/>
              <w:bottom w:val="single" w:color="000000" w:sz="8" w:space="0"/>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三、2022年付息预计执行数</w:t>
            </w:r>
          </w:p>
        </w:tc>
        <w:tc>
          <w:tcPr>
            <w:tcW w:w="2246"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I=J+K</w:t>
            </w:r>
          </w:p>
        </w:tc>
        <w:tc>
          <w:tcPr>
            <w:tcW w:w="3468" w:type="dxa"/>
            <w:tcBorders>
              <w:top w:val="nil"/>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1.49</w:t>
            </w:r>
          </w:p>
        </w:tc>
        <w:tc>
          <w:tcPr>
            <w:tcW w:w="299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（一）一般债券</w:t>
            </w:r>
          </w:p>
        </w:tc>
        <w:tc>
          <w:tcPr>
            <w:tcW w:w="2246"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J</w:t>
            </w:r>
          </w:p>
        </w:tc>
        <w:tc>
          <w:tcPr>
            <w:tcW w:w="3468" w:type="dxa"/>
            <w:tcBorders>
              <w:top w:val="nil"/>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0.57</w:t>
            </w:r>
          </w:p>
        </w:tc>
        <w:tc>
          <w:tcPr>
            <w:tcW w:w="299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656" w:type="dxa"/>
            <w:tcBorders>
              <w:top w:val="nil"/>
              <w:left w:val="nil"/>
              <w:bottom w:val="single" w:color="000000" w:sz="8" w:space="0"/>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（二）专项债券</w:t>
            </w:r>
          </w:p>
        </w:tc>
        <w:tc>
          <w:tcPr>
            <w:tcW w:w="2246" w:type="dxa"/>
            <w:tcBorders>
              <w:top w:val="nil"/>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K</w:t>
            </w:r>
          </w:p>
        </w:tc>
        <w:tc>
          <w:tcPr>
            <w:tcW w:w="3468" w:type="dxa"/>
            <w:tcBorders>
              <w:top w:val="nil"/>
              <w:left w:val="single" w:color="000000" w:sz="4" w:space="0"/>
              <w:bottom w:val="single" w:color="000000" w:sz="8" w:space="0"/>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0.92</w:t>
            </w:r>
          </w:p>
        </w:tc>
        <w:tc>
          <w:tcPr>
            <w:tcW w:w="2995" w:type="dxa"/>
            <w:tcBorders>
              <w:top w:val="nil"/>
              <w:left w:val="nil"/>
              <w:bottom w:val="single" w:color="000000" w:sz="8" w:space="0"/>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0.92</w:t>
            </w:r>
          </w:p>
        </w:tc>
      </w:tr>
    </w:tbl>
    <w:p>
      <w:pPr>
        <w:keepNext w:val="0"/>
        <w:keepLines w:val="0"/>
        <w:widowControl/>
        <w:suppressLineNumbers w:val="0"/>
        <w:jc w:val="center"/>
        <w:textAlignment w:val="center"/>
        <w:rPr>
          <w:rFonts w:ascii="宋体" w:hAnsi="宋体" w:eastAsia="宋体" w:cs="宋体"/>
          <w:b/>
          <w:bCs/>
          <w:i w:val="0"/>
          <w:iCs w:val="0"/>
          <w:color w:val="000000"/>
          <w:kern w:val="0"/>
          <w:sz w:val="30"/>
          <w:szCs w:val="30"/>
          <w:u w:val="none"/>
          <w:lang w:val="en-US" w:eastAsia="zh-CN" w:bidi="ar"/>
        </w:rPr>
      </w:pPr>
      <w:r>
        <w:rPr>
          <w:rFonts w:ascii="宋体" w:hAnsi="宋体" w:eastAsia="宋体" w:cs="宋体"/>
          <w:b/>
          <w:bCs/>
          <w:i w:val="0"/>
          <w:iCs w:val="0"/>
          <w:color w:val="000000"/>
          <w:kern w:val="0"/>
          <w:sz w:val="30"/>
          <w:szCs w:val="30"/>
          <w:u w:val="none"/>
          <w:lang w:val="en-US" w:eastAsia="zh-CN" w:bidi="ar"/>
        </w:rPr>
        <w:br w:type="page"/>
      </w:r>
    </w:p>
    <w:tbl>
      <w:tblPr>
        <w:tblW w:w="133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56"/>
        <w:gridCol w:w="2246"/>
        <w:gridCol w:w="3468"/>
        <w:gridCol w:w="2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13365" w:type="dxa"/>
            <w:gridSpan w:val="4"/>
            <w:tcBorders>
              <w:top w:val="nil"/>
              <w:left w:val="nil"/>
              <w:bottom w:val="nil"/>
              <w:right w:val="nil"/>
            </w:tcBorders>
            <w:shd w:val="clear"/>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bdr w:val="none" w:color="auto" w:sz="0" w:space="0"/>
                <w:lang w:val="en-US" w:eastAsia="zh-CN" w:bidi="ar"/>
              </w:rPr>
            </w:pPr>
            <w:r>
              <w:rPr>
                <w:rFonts w:ascii="宋体" w:hAnsi="宋体" w:eastAsia="宋体" w:cs="宋体"/>
                <w:b/>
                <w:bCs/>
                <w:i w:val="0"/>
                <w:iCs w:val="0"/>
                <w:color w:val="000000"/>
                <w:kern w:val="0"/>
                <w:sz w:val="30"/>
                <w:szCs w:val="30"/>
                <w:u w:val="none"/>
                <w:lang w:val="en-US" w:eastAsia="zh-CN" w:bidi="ar"/>
              </w:rPr>
              <w:t>共青城市</w:t>
            </w:r>
            <w:r>
              <w:rPr>
                <w:rFonts w:hint="eastAsia" w:ascii="宋体" w:hAnsi="宋体" w:eastAsia="宋体" w:cs="宋体"/>
                <w:b/>
                <w:bCs/>
                <w:i w:val="0"/>
                <w:iCs w:val="0"/>
                <w:color w:val="000000"/>
                <w:kern w:val="0"/>
                <w:sz w:val="30"/>
                <w:szCs w:val="30"/>
                <w:u w:val="none"/>
                <w:lang w:val="en-US" w:eastAsia="zh-CN" w:bidi="ar"/>
              </w:rPr>
              <w:t>2023年</w:t>
            </w:r>
            <w:r>
              <w:rPr>
                <w:rFonts w:ascii="宋体" w:hAnsi="宋体" w:eastAsia="宋体" w:cs="宋体"/>
                <w:b/>
                <w:bCs/>
                <w:i w:val="0"/>
                <w:iCs w:val="0"/>
                <w:color w:val="000000"/>
                <w:kern w:val="0"/>
                <w:sz w:val="30"/>
                <w:szCs w:val="30"/>
                <w:u w:val="none"/>
                <w:lang w:val="en-US" w:eastAsia="zh-CN" w:bidi="ar"/>
              </w:rPr>
              <w:t>地方政府债券还本付息</w:t>
            </w:r>
            <w:r>
              <w:rPr>
                <w:rFonts w:hint="eastAsia" w:ascii="宋体" w:hAnsi="宋体" w:eastAsia="宋体" w:cs="宋体"/>
                <w:b/>
                <w:bCs/>
                <w:i w:val="0"/>
                <w:iCs w:val="0"/>
                <w:color w:val="000000"/>
                <w:kern w:val="0"/>
                <w:sz w:val="30"/>
                <w:szCs w:val="30"/>
                <w:u w:val="none"/>
                <w:lang w:val="en-US" w:eastAsia="zh-CN" w:bidi="ar"/>
              </w:rPr>
              <w:t>预算</w:t>
            </w:r>
            <w:r>
              <w:rPr>
                <w:rFonts w:ascii="宋体" w:hAnsi="宋体" w:eastAsia="宋体" w:cs="宋体"/>
                <w:b/>
                <w:bCs/>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4656" w:type="dxa"/>
            <w:tcBorders>
              <w:top w:val="nil"/>
              <w:left w:val="nil"/>
              <w:bottom w:val="single" w:color="auto" w:sz="4" w:space="0"/>
              <w:right w:val="nil"/>
            </w:tcBorders>
            <w:shd w:val="clear"/>
            <w:vAlign w:val="center"/>
          </w:tcPr>
          <w:p>
            <w:pPr>
              <w:rPr>
                <w:rFonts w:hint="eastAsia" w:ascii="宋体" w:hAnsi="宋体" w:eastAsia="宋体" w:cs="宋体"/>
                <w:i w:val="0"/>
                <w:iCs w:val="0"/>
                <w:color w:val="000000"/>
                <w:kern w:val="2"/>
                <w:sz w:val="22"/>
                <w:szCs w:val="22"/>
                <w:u w:val="none"/>
                <w:lang w:val="en-US" w:eastAsia="zh-CN" w:bidi="ar-SA"/>
              </w:rPr>
            </w:pPr>
          </w:p>
        </w:tc>
        <w:tc>
          <w:tcPr>
            <w:tcW w:w="2246" w:type="dxa"/>
            <w:tcBorders>
              <w:top w:val="nil"/>
              <w:left w:val="nil"/>
              <w:bottom w:val="single" w:color="auto" w:sz="4" w:space="0"/>
              <w:right w:val="nil"/>
            </w:tcBorders>
            <w:shd w:val="clear"/>
            <w:vAlign w:val="center"/>
          </w:tcPr>
          <w:p>
            <w:pPr>
              <w:rPr>
                <w:rFonts w:hint="eastAsia" w:ascii="宋体" w:hAnsi="宋体" w:eastAsia="宋体" w:cs="宋体"/>
                <w:i w:val="0"/>
                <w:iCs w:val="0"/>
                <w:color w:val="000000"/>
                <w:kern w:val="2"/>
                <w:sz w:val="22"/>
                <w:szCs w:val="22"/>
                <w:u w:val="none"/>
                <w:lang w:val="en-US" w:eastAsia="zh-CN" w:bidi="ar-SA"/>
              </w:rPr>
            </w:pPr>
          </w:p>
        </w:tc>
        <w:tc>
          <w:tcPr>
            <w:tcW w:w="3468" w:type="dxa"/>
            <w:tcBorders>
              <w:top w:val="nil"/>
              <w:left w:val="nil"/>
              <w:bottom w:val="single" w:color="auto" w:sz="4" w:space="0"/>
              <w:right w:val="nil"/>
            </w:tcBorders>
            <w:shd w:val="clear"/>
            <w:vAlign w:val="center"/>
          </w:tcPr>
          <w:p>
            <w:pPr>
              <w:rPr>
                <w:rFonts w:hint="eastAsia" w:ascii="宋体" w:hAnsi="宋体" w:eastAsia="宋体" w:cs="宋体"/>
                <w:i w:val="0"/>
                <w:iCs w:val="0"/>
                <w:color w:val="000000"/>
                <w:kern w:val="2"/>
                <w:sz w:val="22"/>
                <w:szCs w:val="22"/>
                <w:u w:val="none"/>
                <w:lang w:val="en-US" w:eastAsia="zh-CN" w:bidi="ar-SA"/>
              </w:rPr>
            </w:pPr>
          </w:p>
        </w:tc>
        <w:tc>
          <w:tcPr>
            <w:tcW w:w="2995" w:type="dxa"/>
            <w:tcBorders>
              <w:top w:val="nil"/>
              <w:left w:val="nil"/>
              <w:bottom w:val="single" w:color="auto" w:sz="4" w:space="0"/>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465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项    目</w:t>
            </w:r>
          </w:p>
        </w:tc>
        <w:tc>
          <w:tcPr>
            <w:tcW w:w="22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公式</w:t>
            </w:r>
          </w:p>
        </w:tc>
        <w:tc>
          <w:tcPr>
            <w:tcW w:w="346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本地区</w:t>
            </w:r>
          </w:p>
        </w:tc>
        <w:tc>
          <w:tcPr>
            <w:tcW w:w="29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4656" w:type="dxa"/>
            <w:tcBorders>
              <w:top w:val="single" w:color="auto" w:sz="4" w:space="0"/>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w:t>
            </w:r>
            <w:r>
              <w:rPr>
                <w:rFonts w:ascii="宋体" w:hAnsi="宋体" w:eastAsia="宋体" w:cs="宋体"/>
                <w:i w:val="0"/>
                <w:iCs w:val="0"/>
                <w:color w:val="000000"/>
                <w:kern w:val="0"/>
                <w:sz w:val="22"/>
                <w:szCs w:val="22"/>
                <w:u w:val="none"/>
                <w:bdr w:val="none" w:color="auto" w:sz="0" w:space="0"/>
                <w:lang w:val="en-US" w:eastAsia="zh-CN" w:bidi="ar"/>
              </w:rPr>
              <w:t>、2023年还本预算数</w:t>
            </w:r>
          </w:p>
        </w:tc>
        <w:tc>
          <w:tcPr>
            <w:tcW w:w="2246" w:type="dxa"/>
            <w:tcBorders>
              <w:top w:val="single" w:color="auto"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L=M+O</w:t>
            </w:r>
          </w:p>
        </w:tc>
        <w:tc>
          <w:tcPr>
            <w:tcW w:w="3468" w:type="dxa"/>
            <w:tcBorders>
              <w:top w:val="single" w:color="auto" w:sz="4" w:space="0"/>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4.01</w:t>
            </w:r>
          </w:p>
        </w:tc>
        <w:tc>
          <w:tcPr>
            <w:tcW w:w="2995" w:type="dxa"/>
            <w:tcBorders>
              <w:top w:val="single" w:color="auto" w:sz="4" w:space="0"/>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（一）一般债券</w:t>
            </w:r>
          </w:p>
        </w:tc>
        <w:tc>
          <w:tcPr>
            <w:tcW w:w="2246"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M</w:t>
            </w:r>
          </w:p>
        </w:tc>
        <w:tc>
          <w:tcPr>
            <w:tcW w:w="3468" w:type="dxa"/>
            <w:tcBorders>
              <w:top w:val="nil"/>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1.34</w:t>
            </w:r>
          </w:p>
        </w:tc>
        <w:tc>
          <w:tcPr>
            <w:tcW w:w="299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 xml:space="preserve">   其中：再融资</w:t>
            </w:r>
          </w:p>
        </w:tc>
        <w:tc>
          <w:tcPr>
            <w:tcW w:w="2246" w:type="dxa"/>
            <w:tcBorders>
              <w:top w:val="nil"/>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468" w:type="dxa"/>
            <w:tcBorders>
              <w:top w:val="nil"/>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1.34</w:t>
            </w:r>
          </w:p>
        </w:tc>
        <w:tc>
          <w:tcPr>
            <w:tcW w:w="299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jc w:val="center"/>
        </w:trPr>
        <w:tc>
          <w:tcPr>
            <w:tcW w:w="4656" w:type="dxa"/>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 xml:space="preserve">      财政预算安排 </w:t>
            </w:r>
          </w:p>
        </w:tc>
        <w:tc>
          <w:tcPr>
            <w:tcW w:w="2246"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N</w:t>
            </w:r>
          </w:p>
        </w:tc>
        <w:tc>
          <w:tcPr>
            <w:tcW w:w="3468" w:type="dxa"/>
            <w:tcBorders>
              <w:top w:val="nil"/>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0.00</w:t>
            </w:r>
          </w:p>
        </w:tc>
        <w:tc>
          <w:tcPr>
            <w:tcW w:w="299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（二）专项债券</w:t>
            </w:r>
          </w:p>
        </w:tc>
        <w:tc>
          <w:tcPr>
            <w:tcW w:w="2246"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O</w:t>
            </w:r>
          </w:p>
        </w:tc>
        <w:tc>
          <w:tcPr>
            <w:tcW w:w="3468" w:type="dxa"/>
            <w:tcBorders>
              <w:top w:val="nil"/>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2.68</w:t>
            </w:r>
          </w:p>
        </w:tc>
        <w:tc>
          <w:tcPr>
            <w:tcW w:w="299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 xml:space="preserve">   其中：再融资</w:t>
            </w:r>
          </w:p>
        </w:tc>
        <w:tc>
          <w:tcPr>
            <w:tcW w:w="2246" w:type="dxa"/>
            <w:tcBorders>
              <w:top w:val="nil"/>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468" w:type="dxa"/>
            <w:tcBorders>
              <w:top w:val="nil"/>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2.68</w:t>
            </w:r>
          </w:p>
        </w:tc>
        <w:tc>
          <w:tcPr>
            <w:tcW w:w="299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4656" w:type="dxa"/>
            <w:tcBorders>
              <w:top w:val="nil"/>
              <w:left w:val="nil"/>
              <w:bottom w:val="single" w:color="000000" w:sz="8" w:space="0"/>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 xml:space="preserve">      财政预算安排</w:t>
            </w:r>
          </w:p>
        </w:tc>
        <w:tc>
          <w:tcPr>
            <w:tcW w:w="2246" w:type="dxa"/>
            <w:tcBorders>
              <w:top w:val="nil"/>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w:t>
            </w:r>
          </w:p>
        </w:tc>
        <w:tc>
          <w:tcPr>
            <w:tcW w:w="3468" w:type="dxa"/>
            <w:tcBorders>
              <w:top w:val="nil"/>
              <w:left w:val="single" w:color="000000" w:sz="4" w:space="0"/>
              <w:bottom w:val="single" w:color="000000" w:sz="8" w:space="0"/>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0.00</w:t>
            </w:r>
          </w:p>
        </w:tc>
        <w:tc>
          <w:tcPr>
            <w:tcW w:w="2995" w:type="dxa"/>
            <w:tcBorders>
              <w:top w:val="nil"/>
              <w:left w:val="nil"/>
              <w:bottom w:val="single" w:color="000000" w:sz="8" w:space="0"/>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w:t>
            </w:r>
            <w:r>
              <w:rPr>
                <w:rFonts w:ascii="宋体" w:hAnsi="宋体" w:eastAsia="宋体" w:cs="宋体"/>
                <w:i w:val="0"/>
                <w:iCs w:val="0"/>
                <w:color w:val="000000"/>
                <w:kern w:val="0"/>
                <w:sz w:val="22"/>
                <w:szCs w:val="22"/>
                <w:u w:val="none"/>
                <w:bdr w:val="none" w:color="auto" w:sz="0" w:space="0"/>
                <w:lang w:val="en-US" w:eastAsia="zh-CN" w:bidi="ar"/>
              </w:rPr>
              <w:t>、2023年付息预算数</w:t>
            </w:r>
          </w:p>
        </w:tc>
        <w:tc>
          <w:tcPr>
            <w:tcW w:w="2246"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Q=R+S</w:t>
            </w:r>
          </w:p>
        </w:tc>
        <w:tc>
          <w:tcPr>
            <w:tcW w:w="3468" w:type="dxa"/>
            <w:tcBorders>
              <w:top w:val="nil"/>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2.14</w:t>
            </w:r>
          </w:p>
        </w:tc>
        <w:tc>
          <w:tcPr>
            <w:tcW w:w="299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（一）一般债券</w:t>
            </w:r>
          </w:p>
        </w:tc>
        <w:tc>
          <w:tcPr>
            <w:tcW w:w="2246"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R</w:t>
            </w:r>
          </w:p>
        </w:tc>
        <w:tc>
          <w:tcPr>
            <w:tcW w:w="3468" w:type="dxa"/>
            <w:tcBorders>
              <w:top w:val="nil"/>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0.70</w:t>
            </w:r>
          </w:p>
        </w:tc>
        <w:tc>
          <w:tcPr>
            <w:tcW w:w="2995"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4656" w:type="dxa"/>
            <w:tcBorders>
              <w:top w:val="nil"/>
              <w:left w:val="nil"/>
              <w:bottom w:val="single" w:color="000000" w:sz="8" w:space="0"/>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（二）专项债券</w:t>
            </w:r>
          </w:p>
        </w:tc>
        <w:tc>
          <w:tcPr>
            <w:tcW w:w="2246" w:type="dxa"/>
            <w:tcBorders>
              <w:top w:val="nil"/>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S</w:t>
            </w:r>
          </w:p>
        </w:tc>
        <w:tc>
          <w:tcPr>
            <w:tcW w:w="3468" w:type="dxa"/>
            <w:tcBorders>
              <w:top w:val="nil"/>
              <w:left w:val="single" w:color="000000" w:sz="4" w:space="0"/>
              <w:bottom w:val="single" w:color="000000" w:sz="8" w:space="0"/>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1.44</w:t>
            </w:r>
          </w:p>
        </w:tc>
        <w:tc>
          <w:tcPr>
            <w:tcW w:w="2995" w:type="dxa"/>
            <w:tcBorders>
              <w:top w:val="nil"/>
              <w:left w:val="nil"/>
              <w:bottom w:val="single" w:color="000000" w:sz="8" w:space="0"/>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365" w:type="dxa"/>
            <w:gridSpan w:val="4"/>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注：1.本表反映本地区和本级上一年度地方政府债券（含再融资债券）发行及还本付息预计执行数、本年度地方政府债券还本付息预算数等。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365" w:type="dxa"/>
            <w:gridSpan w:val="4"/>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2.本表由县级以上地方各级财政部门在本级人民代表大会批准预算后二十日内公开。</w:t>
            </w:r>
          </w:p>
        </w:tc>
      </w:tr>
    </w:tbl>
    <w:p>
      <w:r>
        <w:br w:type="page"/>
      </w:r>
    </w:p>
    <w:tbl>
      <w:tblPr>
        <w:tblW w:w="14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092"/>
        <w:gridCol w:w="2213"/>
        <w:gridCol w:w="2490"/>
        <w:gridCol w:w="2490"/>
        <w:gridCol w:w="2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6" w:hRule="atLeast"/>
          <w:jc w:val="center"/>
        </w:trPr>
        <w:tc>
          <w:tcPr>
            <w:tcW w:w="14580" w:type="dxa"/>
            <w:gridSpan w:val="5"/>
            <w:tcBorders>
              <w:top w:val="nil"/>
              <w:left w:val="nil"/>
              <w:bottom w:val="nil"/>
              <w:right w:val="nil"/>
            </w:tcBorders>
            <w:shd w:val="clear"/>
            <w:vAlign w:val="center"/>
          </w:tcPr>
          <w:p>
            <w:pPr>
              <w:jc w:val="center"/>
              <w:rPr>
                <w:rFonts w:hint="eastAsia" w:ascii="宋体" w:hAnsi="宋体" w:eastAsia="宋体" w:cs="宋体"/>
                <w:i w:val="0"/>
                <w:iCs w:val="0"/>
                <w:color w:val="000000"/>
                <w:sz w:val="22"/>
                <w:szCs w:val="22"/>
                <w:u w:val="none"/>
              </w:rPr>
            </w:pPr>
            <w:r>
              <w:rPr>
                <w:rFonts w:ascii="宋体" w:hAnsi="宋体" w:eastAsia="宋体" w:cs="宋体"/>
                <w:b/>
                <w:bCs/>
                <w:i w:val="0"/>
                <w:iCs w:val="0"/>
                <w:color w:val="000000"/>
                <w:kern w:val="0"/>
                <w:sz w:val="30"/>
                <w:szCs w:val="30"/>
                <w:u w:val="none"/>
                <w:bdr w:val="none" w:color="auto" w:sz="0" w:space="0"/>
                <w:lang w:val="en-US" w:eastAsia="zh-CN" w:bidi="ar"/>
              </w:rPr>
              <w:t>共青城市2023年地方政府债务限额提前下达情况表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jc w:val="center"/>
        </w:trPr>
        <w:tc>
          <w:tcPr>
            <w:tcW w:w="14580" w:type="dxa"/>
            <w:gridSpan w:val="5"/>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jc w:val="center"/>
        </w:trPr>
        <w:tc>
          <w:tcPr>
            <w:tcW w:w="5092" w:type="dxa"/>
            <w:tcBorders>
              <w:top w:val="single" w:color="000000" w:sz="8" w:space="0"/>
              <w:left w:val="nil"/>
              <w:bottom w:val="single" w:color="000000" w:sz="8"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项目</w:t>
            </w:r>
          </w:p>
        </w:tc>
        <w:tc>
          <w:tcPr>
            <w:tcW w:w="2213" w:type="dxa"/>
            <w:tcBorders>
              <w:top w:val="single" w:color="000000" w:sz="8" w:space="0"/>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公  式</w:t>
            </w:r>
          </w:p>
        </w:tc>
        <w:tc>
          <w:tcPr>
            <w:tcW w:w="2490" w:type="dxa"/>
            <w:tcBorders>
              <w:top w:val="single" w:color="000000" w:sz="8" w:space="0"/>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本地区</w:t>
            </w:r>
          </w:p>
        </w:tc>
        <w:tc>
          <w:tcPr>
            <w:tcW w:w="2490" w:type="dxa"/>
            <w:tcBorders>
              <w:top w:val="single" w:color="000000" w:sz="8" w:space="0"/>
              <w:left w:val="single" w:color="000000" w:sz="4" w:space="0"/>
              <w:bottom w:val="single" w:color="000000" w:sz="8" w:space="0"/>
              <w:right w:val="nil"/>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本级</w:t>
            </w:r>
          </w:p>
        </w:tc>
        <w:tc>
          <w:tcPr>
            <w:tcW w:w="2295" w:type="dxa"/>
            <w:tcBorders>
              <w:top w:val="single" w:color="000000" w:sz="8" w:space="0"/>
              <w:left w:val="single" w:color="000000" w:sz="4" w:space="0"/>
              <w:bottom w:val="single" w:color="000000" w:sz="8" w:space="0"/>
              <w:right w:val="nil"/>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bdr w:val="none" w:color="auto" w:sz="0" w:space="0"/>
                <w:lang w:val="en-US" w:eastAsia="zh-CN" w:bidi="ar"/>
              </w:rPr>
              <w:t>下级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5092"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一：2022年地方政府债务限额</w:t>
            </w:r>
          </w:p>
        </w:tc>
        <w:tc>
          <w:tcPr>
            <w:tcW w:w="221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A=B+C</w:t>
            </w:r>
          </w:p>
        </w:tc>
        <w:tc>
          <w:tcPr>
            <w:tcW w:w="249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72.15</w:t>
            </w:r>
          </w:p>
        </w:tc>
        <w:tc>
          <w:tcPr>
            <w:tcW w:w="249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72.15</w:t>
            </w:r>
          </w:p>
        </w:tc>
        <w:tc>
          <w:tcPr>
            <w:tcW w:w="2295" w:type="dxa"/>
            <w:tcBorders>
              <w:top w:val="nil"/>
              <w:left w:val="single" w:color="000000" w:sz="4" w:space="0"/>
              <w:bottom w:val="single" w:color="000000" w:sz="4" w:space="0"/>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5092" w:type="dxa"/>
            <w:tcBorders>
              <w:top w:val="single" w:color="000000" w:sz="4" w:space="0"/>
              <w:left w:val="nil"/>
              <w:bottom w:val="nil"/>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其中： 一般债务限额</w:t>
            </w:r>
          </w:p>
        </w:tc>
        <w:tc>
          <w:tcPr>
            <w:tcW w:w="2213"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B</w:t>
            </w:r>
          </w:p>
        </w:tc>
        <w:tc>
          <w:tcPr>
            <w:tcW w:w="24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29.25</w:t>
            </w:r>
          </w:p>
        </w:tc>
        <w:tc>
          <w:tcPr>
            <w:tcW w:w="2490" w:type="dxa"/>
            <w:tcBorders>
              <w:top w:val="nil"/>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29.25</w:t>
            </w:r>
          </w:p>
        </w:tc>
        <w:tc>
          <w:tcPr>
            <w:tcW w:w="2295" w:type="dxa"/>
            <w:tcBorders>
              <w:top w:val="nil"/>
              <w:left w:val="single" w:color="000000" w:sz="4" w:space="0"/>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5092"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 xml:space="preserve">    专项债务限额</w:t>
            </w:r>
          </w:p>
        </w:tc>
        <w:tc>
          <w:tcPr>
            <w:tcW w:w="221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C</w:t>
            </w:r>
          </w:p>
        </w:tc>
        <w:tc>
          <w:tcPr>
            <w:tcW w:w="249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42.90</w:t>
            </w:r>
          </w:p>
        </w:tc>
        <w:tc>
          <w:tcPr>
            <w:tcW w:w="249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42.90</w:t>
            </w:r>
          </w:p>
        </w:tc>
        <w:tc>
          <w:tcPr>
            <w:tcW w:w="2295" w:type="dxa"/>
            <w:tcBorders>
              <w:top w:val="nil"/>
              <w:left w:val="single" w:color="000000" w:sz="4" w:space="0"/>
              <w:bottom w:val="single" w:color="000000" w:sz="4" w:space="0"/>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5092" w:type="dxa"/>
            <w:tcBorders>
              <w:top w:val="single" w:color="000000" w:sz="4" w:space="0"/>
              <w:left w:val="nil"/>
              <w:bottom w:val="single" w:color="000000" w:sz="4" w:space="0"/>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二：提前下达的2023年地方政府债务新增限额</w:t>
            </w:r>
          </w:p>
        </w:tc>
        <w:tc>
          <w:tcPr>
            <w:tcW w:w="221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D=E+F</w:t>
            </w:r>
          </w:p>
        </w:tc>
        <w:tc>
          <w:tcPr>
            <w:tcW w:w="249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9.86</w:t>
            </w:r>
          </w:p>
        </w:tc>
        <w:tc>
          <w:tcPr>
            <w:tcW w:w="249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9.86</w:t>
            </w:r>
          </w:p>
        </w:tc>
        <w:tc>
          <w:tcPr>
            <w:tcW w:w="2295" w:type="dxa"/>
            <w:tcBorders>
              <w:top w:val="nil"/>
              <w:left w:val="single" w:color="000000" w:sz="4" w:space="0"/>
              <w:bottom w:val="single" w:color="000000" w:sz="4" w:space="0"/>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5092" w:type="dxa"/>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其中： 一般债务限额</w:t>
            </w:r>
          </w:p>
        </w:tc>
        <w:tc>
          <w:tcPr>
            <w:tcW w:w="2213"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E</w:t>
            </w:r>
          </w:p>
        </w:tc>
        <w:tc>
          <w:tcPr>
            <w:tcW w:w="2490" w:type="dxa"/>
            <w:tcBorders>
              <w:top w:val="nil"/>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1.29</w:t>
            </w:r>
          </w:p>
        </w:tc>
        <w:tc>
          <w:tcPr>
            <w:tcW w:w="2490" w:type="dxa"/>
            <w:tcBorders>
              <w:top w:val="nil"/>
              <w:left w:val="single" w:color="000000" w:sz="4" w:space="0"/>
              <w:bottom w:val="nil"/>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1.29</w:t>
            </w:r>
          </w:p>
        </w:tc>
        <w:tc>
          <w:tcPr>
            <w:tcW w:w="2295" w:type="dxa"/>
            <w:tcBorders>
              <w:top w:val="nil"/>
              <w:left w:val="single" w:color="000000" w:sz="4" w:space="0"/>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jc w:val="center"/>
        </w:trPr>
        <w:tc>
          <w:tcPr>
            <w:tcW w:w="5092"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 xml:space="preserve">    专项债务限额</w:t>
            </w:r>
          </w:p>
        </w:tc>
        <w:tc>
          <w:tcPr>
            <w:tcW w:w="221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F</w:t>
            </w:r>
          </w:p>
        </w:tc>
        <w:tc>
          <w:tcPr>
            <w:tcW w:w="249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8.57</w:t>
            </w:r>
          </w:p>
        </w:tc>
        <w:tc>
          <w:tcPr>
            <w:tcW w:w="249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8.57</w:t>
            </w:r>
          </w:p>
        </w:tc>
        <w:tc>
          <w:tcPr>
            <w:tcW w:w="2295" w:type="dxa"/>
            <w:tcBorders>
              <w:top w:val="nil"/>
              <w:left w:val="nil"/>
              <w:bottom w:val="single" w:color="000000" w:sz="4" w:space="0"/>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4" w:hRule="atLeast"/>
          <w:jc w:val="center"/>
        </w:trPr>
        <w:tc>
          <w:tcPr>
            <w:tcW w:w="14580" w:type="dxa"/>
            <w:gridSpan w:val="5"/>
            <w:tcBorders>
              <w:top w:val="single" w:color="000000" w:sz="8" w:space="0"/>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注：本表反映本地区及本级年初预算中列示的地方政府债务限额情况，由县级以上地方各级财政部门在同级人大常委会批准年度预算后二十日内公开。</w:t>
            </w:r>
          </w:p>
        </w:tc>
      </w:tr>
    </w:tbl>
    <w:p>
      <w:r>
        <w:br w:type="page"/>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16"/>
        <w:gridCol w:w="4858"/>
        <w:gridCol w:w="2478"/>
        <w:gridCol w:w="4133"/>
        <w:gridCol w:w="1029"/>
        <w:gridCol w:w="1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blHeader/>
        </w:trPr>
        <w:tc>
          <w:tcPr>
            <w:tcW w:w="5000" w:type="pct"/>
            <w:gridSpan w:val="6"/>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5"/>
                <w:szCs w:val="25"/>
                <w:u w:val="none"/>
              </w:rPr>
            </w:pPr>
            <w:r>
              <w:rPr>
                <w:rFonts w:hint="eastAsia" w:ascii="宋体" w:hAnsi="宋体" w:eastAsia="宋体" w:cs="宋体"/>
                <w:b/>
                <w:bCs/>
                <w:i w:val="0"/>
                <w:iCs w:val="0"/>
                <w:color w:val="000000"/>
                <w:kern w:val="0"/>
                <w:sz w:val="30"/>
                <w:szCs w:val="30"/>
                <w:u w:val="none"/>
                <w:lang w:val="en-US" w:eastAsia="zh-CN" w:bidi="ar"/>
              </w:rPr>
              <w:t>共青城市2023年年初地方政府新增债券资金安排表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blHeader/>
        </w:trPr>
        <w:tc>
          <w:tcPr>
            <w:tcW w:w="217" w:type="pct"/>
            <w:tcBorders>
              <w:top w:val="nil"/>
              <w:left w:val="nil"/>
              <w:bottom w:val="nil"/>
              <w:right w:val="nil"/>
            </w:tcBorders>
            <w:shd w:val="clear"/>
            <w:noWrap/>
            <w:vAlign w:val="bottom"/>
          </w:tcPr>
          <w:p>
            <w:pPr>
              <w:jc w:val="center"/>
              <w:rPr>
                <w:rFonts w:hint="eastAsia" w:ascii="宋体" w:hAnsi="宋体" w:eastAsia="宋体" w:cs="宋体"/>
                <w:i w:val="0"/>
                <w:iCs w:val="0"/>
                <w:color w:val="000000"/>
                <w:sz w:val="25"/>
                <w:szCs w:val="25"/>
                <w:u w:val="none"/>
              </w:rPr>
            </w:pPr>
          </w:p>
        </w:tc>
        <w:tc>
          <w:tcPr>
            <w:tcW w:w="1714" w:type="pct"/>
            <w:tcBorders>
              <w:top w:val="nil"/>
              <w:left w:val="nil"/>
              <w:bottom w:val="nil"/>
              <w:right w:val="nil"/>
            </w:tcBorders>
            <w:shd w:val="clear"/>
            <w:noWrap/>
            <w:vAlign w:val="bottom"/>
          </w:tcPr>
          <w:p>
            <w:pPr>
              <w:jc w:val="center"/>
              <w:rPr>
                <w:rFonts w:hint="eastAsia" w:ascii="宋体" w:hAnsi="宋体" w:eastAsia="宋体" w:cs="宋体"/>
                <w:i w:val="0"/>
                <w:iCs w:val="0"/>
                <w:color w:val="000000"/>
                <w:sz w:val="25"/>
                <w:szCs w:val="25"/>
                <w:u w:val="none"/>
              </w:rPr>
            </w:pPr>
          </w:p>
        </w:tc>
        <w:tc>
          <w:tcPr>
            <w:tcW w:w="874" w:type="pct"/>
            <w:tcBorders>
              <w:top w:val="nil"/>
              <w:left w:val="nil"/>
              <w:bottom w:val="nil"/>
              <w:right w:val="nil"/>
            </w:tcBorders>
            <w:shd w:val="clear"/>
            <w:noWrap/>
            <w:vAlign w:val="bottom"/>
          </w:tcPr>
          <w:p>
            <w:pPr>
              <w:jc w:val="center"/>
              <w:rPr>
                <w:rFonts w:hint="eastAsia" w:ascii="宋体" w:hAnsi="宋体" w:eastAsia="宋体" w:cs="宋体"/>
                <w:i w:val="0"/>
                <w:iCs w:val="0"/>
                <w:color w:val="000000"/>
                <w:sz w:val="25"/>
                <w:szCs w:val="25"/>
                <w:u w:val="none"/>
              </w:rPr>
            </w:pPr>
          </w:p>
        </w:tc>
        <w:tc>
          <w:tcPr>
            <w:tcW w:w="1458" w:type="pct"/>
            <w:tcBorders>
              <w:top w:val="nil"/>
              <w:left w:val="nil"/>
              <w:bottom w:val="nil"/>
              <w:right w:val="nil"/>
            </w:tcBorders>
            <w:shd w:val="clear"/>
            <w:noWrap/>
            <w:vAlign w:val="bottom"/>
          </w:tcPr>
          <w:p>
            <w:pPr>
              <w:jc w:val="center"/>
              <w:rPr>
                <w:rFonts w:hint="eastAsia" w:ascii="宋体" w:hAnsi="宋体" w:eastAsia="宋体" w:cs="宋体"/>
                <w:i w:val="0"/>
                <w:iCs w:val="0"/>
                <w:color w:val="000000"/>
                <w:sz w:val="25"/>
                <w:szCs w:val="25"/>
                <w:u w:val="none"/>
              </w:rPr>
            </w:pPr>
          </w:p>
        </w:tc>
        <w:tc>
          <w:tcPr>
            <w:tcW w:w="363" w:type="pct"/>
            <w:tcBorders>
              <w:top w:val="nil"/>
              <w:left w:val="nil"/>
              <w:bottom w:val="nil"/>
              <w:right w:val="nil"/>
            </w:tcBorders>
            <w:shd w:val="clear"/>
            <w:noWrap/>
            <w:vAlign w:val="bottom"/>
          </w:tcPr>
          <w:p>
            <w:pPr>
              <w:jc w:val="center"/>
              <w:rPr>
                <w:rFonts w:hint="eastAsia" w:ascii="宋体" w:hAnsi="宋体" w:eastAsia="宋体" w:cs="宋体"/>
                <w:i w:val="0"/>
                <w:iCs w:val="0"/>
                <w:color w:val="000000"/>
                <w:sz w:val="25"/>
                <w:szCs w:val="25"/>
                <w:u w:val="none"/>
              </w:rPr>
            </w:pPr>
          </w:p>
        </w:tc>
        <w:tc>
          <w:tcPr>
            <w:tcW w:w="371" w:type="pct"/>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3" w:hRule="atLeast"/>
          <w:tblHeader/>
        </w:trPr>
        <w:tc>
          <w:tcPr>
            <w:tcW w:w="21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714"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874"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项目类型</w:t>
            </w:r>
          </w:p>
        </w:tc>
        <w:tc>
          <w:tcPr>
            <w:tcW w:w="1458" w:type="pct"/>
            <w:tcBorders>
              <w:top w:val="single" w:color="000000" w:sz="8" w:space="0"/>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项目主管部门</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债券性质</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债券规模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共青城市北京路片区老旧小区改造项目</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城镇老旧小区改造</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共青城市住房和城乡建设局</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共青城市上海路片区老旧小区改造</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城镇老旧小区改造</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共青城市住房和城乡建设局</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共青城市陈家片区老旧小区改造项目</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城镇老旧小区改造</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共青城市住房和城乡建设局</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东方超市停车场项目</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城市停车场</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共青城市住房和城乡建设局</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江益镇荷塘安置房外立面改造工程</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农村环境治理</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共青城江益镇</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共青城市网球运动中心综合楼建设项目</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体育</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共青城市教育体育局</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江益镇跃进村省级4A级乡村旅游点提升工程</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文化旅游</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共青城江益镇</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共青城市生态体育公园项目 </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体育</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共青城市南湖新城管理委员会</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共青城市创业路（共安大道-中粮路）拓宽改造工程</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共青城市住房和城乡建设局</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共青城市泽泉乡观音桥村苏州岭产业路</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泽泉乡人民政府</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共青城市共青大道-发展大道交叉口环岛改造工程</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共青城市住房和城乡建设局</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共青城高新区东环路（一期）工程</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九江共青城高新技术产业开发区管理委员会</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共青城市双桥路工程</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共青城市住房和城乡建设局</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2022年城区道路改造项目</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共青城市住房和城乡建设局</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拆墙透绿工程项目</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其他市政建设</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共青城市住房和城乡建设局</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高新区科技三大道延伸项目</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九江共青城高新技术产业开发区管理委员会</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共青城市中心城区路网改造提升工程</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共青城市住房和城乡建设局</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共青城市高新区火炬一路改造工程</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九江共青城高新技术产业开发区管理委员会</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共青城市供水保障一体化工程建设项目</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水利</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共青城市农业农村水利局</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17"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1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共青城市冷链仓储智慧物流配送中心建设项目</w:t>
            </w:r>
          </w:p>
        </w:tc>
        <w:tc>
          <w:tcPr>
            <w:tcW w:w="874"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城乡冷链等物流基础设施</w:t>
            </w:r>
          </w:p>
        </w:tc>
        <w:tc>
          <w:tcPr>
            <w:tcW w:w="1458" w:type="pct"/>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共青城市南湖新城管理委员会</w:t>
            </w:r>
          </w:p>
        </w:tc>
        <w:tc>
          <w:tcPr>
            <w:tcW w:w="363"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专项债券</w:t>
            </w:r>
          </w:p>
        </w:tc>
        <w:tc>
          <w:tcPr>
            <w:tcW w:w="371" w:type="pct"/>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r>
    </w:tbl>
    <w:p>
      <w:pPr>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jc w:val="center"/>
        <w:rPr>
          <w:rFonts w:hint="eastAsia" w:ascii="宋体" w:hAnsi="宋体" w:eastAsia="宋体" w:cs="宋体"/>
          <w:b/>
          <w:bCs/>
          <w:color w:val="000000"/>
          <w:kern w:val="0"/>
          <w:sz w:val="40"/>
          <w:szCs w:val="40"/>
          <w:lang w:val="en-US" w:eastAsia="zh-CN" w:bidi="ar"/>
        </w:rPr>
      </w:pPr>
      <w:r>
        <w:rPr>
          <w:rFonts w:hint="eastAsia" w:ascii="宋体" w:hAnsi="宋体" w:eastAsia="宋体" w:cs="宋体"/>
          <w:b/>
          <w:bCs/>
          <w:color w:val="000000"/>
          <w:kern w:val="0"/>
          <w:sz w:val="40"/>
          <w:szCs w:val="40"/>
          <w:lang w:val="en-US" w:eastAsia="zh-CN" w:bidi="ar"/>
        </w:rPr>
        <w:t>2022 年共青城市地方政府债务情况</w:t>
      </w:r>
    </w:p>
    <w:p>
      <w:pPr>
        <w:keepNext w:val="0"/>
        <w:keepLines w:val="0"/>
        <w:widowControl/>
        <w:suppressLineNumbers w:val="0"/>
        <w:jc w:val="center"/>
        <w:rPr>
          <w:rFonts w:hint="eastAsia" w:ascii="宋体" w:hAnsi="宋体" w:eastAsia="宋体" w:cs="宋体"/>
          <w:b/>
          <w:bCs/>
          <w:color w:val="000000"/>
          <w:kern w:val="0"/>
          <w:sz w:val="40"/>
          <w:szCs w:val="40"/>
          <w:lang w:val="en-US" w:eastAsia="zh-CN" w:bidi="ar"/>
        </w:rPr>
      </w:pPr>
    </w:p>
    <w:p>
      <w:pPr>
        <w:keepNext w:val="0"/>
        <w:keepLines w:val="0"/>
        <w:widowControl/>
        <w:suppressLineNumbers w:val="0"/>
        <w:jc w:val="both"/>
        <w:rPr>
          <w:rFonts w:hint="eastAsia" w:ascii="宋体" w:hAnsi="宋体" w:eastAsia="宋体" w:cs="宋体"/>
          <w:b/>
          <w:bCs/>
          <w:color w:val="000000"/>
          <w:kern w:val="0"/>
          <w:sz w:val="40"/>
          <w:szCs w:val="40"/>
          <w:lang w:val="en-US" w:eastAsia="zh-CN" w:bidi="ar"/>
        </w:rPr>
      </w:pPr>
    </w:p>
    <w:p>
      <w:pPr>
        <w:keepNext w:val="0"/>
        <w:keepLines w:val="0"/>
        <w:widowControl/>
        <w:suppressLineNumbers w:val="0"/>
        <w:jc w:val="both"/>
        <w:rPr>
          <w:rFonts w:hint="eastAsia" w:ascii="宋体" w:hAnsi="宋体" w:eastAsia="宋体" w:cs="宋体"/>
          <w:b/>
          <w:bCs/>
          <w:color w:val="000000"/>
          <w:kern w:val="0"/>
          <w:sz w:val="40"/>
          <w:szCs w:val="40"/>
          <w:lang w:val="en-US" w:eastAsia="zh-CN" w:bidi="ar"/>
        </w:rPr>
      </w:pPr>
    </w:p>
    <w:p>
      <w:pPr>
        <w:keepNext w:val="0"/>
        <w:keepLines w:val="0"/>
        <w:widowControl/>
        <w:suppressLineNumbers w:val="0"/>
        <w:jc w:val="both"/>
        <w:rPr>
          <w:rFonts w:hint="eastAsia" w:ascii="宋体" w:hAnsi="宋体" w:eastAsia="宋体" w:cs="宋体"/>
          <w:b/>
          <w:bCs/>
          <w:color w:val="000000"/>
          <w:kern w:val="0"/>
          <w:sz w:val="40"/>
          <w:szCs w:val="40"/>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2022年，省财政厅下达我市地方政府债务限额 72.15 亿元。其中：一般债务限额 29.25 亿元，专项债务限额 42.90亿元。</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2022 年，共青城市地方政府债务余额 62.47 亿元。其中：一般债务余额 22.81亿元，专项债务余额 39.66 亿元。</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2022 年，共青城市地方政府债券转贷收入 14.03 亿元。其中：新增债券 10.57 亿元，再融资债券 3.46亿元。</w:t>
      </w: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OTMwMGMwMDk0NTk2MDQ1ODU1Yzg4ZjA0OTFmZmEifQ=="/>
  </w:docVars>
  <w:rsids>
    <w:rsidRoot w:val="6F7B6515"/>
    <w:rsid w:val="6F7B6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2023-03-21T06:46:00Z</dcterms:created>
  <dc:creator>win10-20191104POIUYT</dc:creator>
  <cp:lastModifiedBy>win10-20191104POIUYT</cp:lastModifiedBy>
  <dcterms:modified xsi:type="dcterms:W3CDTF">2023-03-21T07:35:44Z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4D79747285254DA28297FF12CC596B64</vt:lpwstr>
  </property>
</Properties>
</file>