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44"/>
          <w:szCs w:val="44"/>
        </w:rPr>
        <w:t>关于共青城市20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年财政预算执行情况和</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年财政预算草案的报告（书面）</w:t>
      </w:r>
    </w:p>
    <w:p>
      <w:pPr>
        <w:pStyle w:val="4"/>
        <w:keepNext w:val="0"/>
        <w:keepLines w:val="0"/>
        <w:pageBreakBefore w:val="0"/>
        <w:widowControl w:val="0"/>
        <w:kinsoku/>
        <w:wordWrap/>
        <w:overflowPunct/>
        <w:topLinePunct w:val="0"/>
        <w:autoSpaceDE/>
        <w:autoSpaceDN/>
        <w:bidi w:val="0"/>
        <w:adjustRightInd/>
        <w:snapToGrid/>
        <w:spacing w:after="0"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ascii="楷体_GB2312" w:hAnsi="楷体" w:eastAsia="楷体_GB2312"/>
          <w:spacing w:val="-16"/>
        </w:rPr>
      </w:pPr>
      <w:r>
        <w:rPr>
          <w:rFonts w:hint="eastAsia" w:ascii="楷体_GB2312" w:hAnsi="楷体" w:eastAsia="楷体_GB2312"/>
          <w:spacing w:val="-16"/>
        </w:rPr>
        <w:t>（</w:t>
      </w:r>
      <w:r>
        <w:rPr>
          <w:rFonts w:ascii="楷体_GB2312" w:hAnsi="楷体" w:eastAsia="楷体_GB2312"/>
          <w:spacing w:val="-16"/>
        </w:rPr>
        <w:t>20</w:t>
      </w:r>
      <w:r>
        <w:rPr>
          <w:rFonts w:hint="eastAsia" w:ascii="楷体_GB2312" w:hAnsi="楷体" w:eastAsia="楷体_GB2312"/>
          <w:spacing w:val="-16"/>
          <w:lang w:val="en-US" w:eastAsia="zh-CN"/>
        </w:rPr>
        <w:t>24</w:t>
      </w:r>
      <w:r>
        <w:rPr>
          <w:rFonts w:hint="eastAsia" w:ascii="楷体_GB2312" w:hAnsi="楷体" w:eastAsia="楷体_GB2312"/>
          <w:spacing w:val="-16"/>
        </w:rPr>
        <w:t>年</w:t>
      </w:r>
      <w:r>
        <w:rPr>
          <w:rFonts w:hint="eastAsia" w:ascii="楷体_GB2312" w:hAnsi="楷体" w:eastAsia="楷体_GB2312"/>
          <w:spacing w:val="-16"/>
          <w:lang w:val="en-US" w:eastAsia="zh-CN"/>
        </w:rPr>
        <w:t>1</w:t>
      </w:r>
      <w:r>
        <w:rPr>
          <w:rFonts w:hint="eastAsia" w:ascii="楷体_GB2312" w:hAnsi="楷体" w:eastAsia="楷体_GB2312"/>
          <w:spacing w:val="-16"/>
        </w:rPr>
        <w:t>月</w:t>
      </w:r>
      <w:r>
        <w:rPr>
          <w:rFonts w:hint="eastAsia" w:ascii="楷体_GB2312" w:hAnsi="楷体" w:eastAsia="楷体_GB2312"/>
          <w:spacing w:val="-16"/>
          <w:lang w:val="en-US" w:eastAsia="zh-CN"/>
        </w:rPr>
        <w:t>20</w:t>
      </w:r>
      <w:r>
        <w:rPr>
          <w:rFonts w:hint="eastAsia" w:ascii="楷体_GB2312" w:hAnsi="楷体" w:eastAsia="楷体_GB2312"/>
          <w:spacing w:val="-16"/>
        </w:rPr>
        <w:t>日在共青城市第</w:t>
      </w:r>
      <w:r>
        <w:rPr>
          <w:rFonts w:hint="eastAsia" w:ascii="楷体_GB2312" w:hAnsi="楷体" w:eastAsia="楷体_GB2312"/>
          <w:spacing w:val="-16"/>
          <w:lang w:eastAsia="zh-CN"/>
        </w:rPr>
        <w:t>三</w:t>
      </w:r>
      <w:r>
        <w:rPr>
          <w:rFonts w:hint="eastAsia" w:ascii="楷体_GB2312" w:hAnsi="楷体" w:eastAsia="楷体_GB2312"/>
          <w:spacing w:val="-16"/>
        </w:rPr>
        <w:t>届人民代表大会第</w:t>
      </w:r>
      <w:r>
        <w:rPr>
          <w:rFonts w:hint="eastAsia" w:ascii="楷体_GB2312" w:hAnsi="楷体" w:eastAsia="楷体_GB2312"/>
          <w:spacing w:val="-16"/>
          <w:lang w:val="en-US" w:eastAsia="zh-CN"/>
        </w:rPr>
        <w:t>四</w:t>
      </w:r>
      <w:r>
        <w:rPr>
          <w:rFonts w:hint="eastAsia" w:ascii="楷体_GB2312" w:hAnsi="楷体" w:eastAsia="楷体_GB2312"/>
          <w:spacing w:val="-16"/>
        </w:rPr>
        <w:t>次会议上）</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仿宋_GB2312" w:eastAsia="楷体_GB2312"/>
          <w:lang w:eastAsia="zh-CN"/>
        </w:rPr>
      </w:pPr>
      <w:r>
        <w:rPr>
          <w:rFonts w:hint="eastAsia" w:ascii="楷体_GB2312" w:hAnsi="楷体" w:eastAsia="楷体_GB2312"/>
          <w:lang w:eastAsia="zh-CN"/>
        </w:rPr>
        <w:t>共青城</w:t>
      </w:r>
      <w:r>
        <w:rPr>
          <w:rFonts w:hint="eastAsia" w:ascii="楷体_GB2312" w:hAnsi="楷体" w:eastAsia="楷体_GB2312"/>
        </w:rPr>
        <w:t>市</w:t>
      </w:r>
      <w:r>
        <w:rPr>
          <w:rFonts w:hint="eastAsia" w:ascii="楷体_GB2312" w:hAnsi="楷体" w:eastAsia="楷体_GB2312"/>
          <w:lang w:eastAsia="zh-CN"/>
        </w:rPr>
        <w:t>财政局局长</w:t>
      </w:r>
      <w:r>
        <w:rPr>
          <w:rFonts w:hint="eastAsia" w:ascii="楷体_GB2312" w:hAnsi="楷体" w:eastAsia="楷体_GB2312"/>
        </w:rPr>
        <w:t xml:space="preserve">  </w:t>
      </w:r>
      <w:r>
        <w:rPr>
          <w:rFonts w:hint="eastAsia" w:ascii="楷体_GB2312" w:hAnsi="楷体" w:eastAsia="楷体_GB2312"/>
          <w:lang w:eastAsia="zh-CN"/>
        </w:rPr>
        <w:t>余</w:t>
      </w:r>
      <w:r>
        <w:rPr>
          <w:rFonts w:hint="eastAsia" w:ascii="楷体_GB2312" w:hAnsi="楷体" w:eastAsia="楷体_GB2312"/>
          <w:lang w:val="en-US" w:eastAsia="zh-CN"/>
        </w:rPr>
        <w:t xml:space="preserve">  </w:t>
      </w:r>
      <w:r>
        <w:rPr>
          <w:rFonts w:hint="eastAsia" w:ascii="楷体_GB2312" w:hAnsi="楷体" w:eastAsia="楷体_GB2312"/>
          <w:lang w:eastAsia="zh-CN"/>
        </w:rPr>
        <w:t>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color w:val="000000" w:themeColor="text1"/>
          <w14:textFill>
            <w14:solidFill>
              <w14:schemeClr w14:val="tx1"/>
            </w14:solidFill>
          </w14:textFill>
        </w:rPr>
        <w:t>受市人民政府委托，向大会报告</w:t>
      </w:r>
      <w:r>
        <w:rPr>
          <w:rFonts w:hint="eastAsia" w:ascii="仿宋_GB2312" w:hAnsi="仿宋_GB2312" w:eastAsia="仿宋_GB2312" w:cs="仿宋_GB2312"/>
          <w:color w:val="000000" w:themeColor="text1"/>
          <w:lang w:eastAsia="zh-CN"/>
          <w14:textFill>
            <w14:solidFill>
              <w14:schemeClr w14:val="tx1"/>
            </w14:solidFill>
          </w14:textFill>
        </w:rPr>
        <w:t>全</w:t>
      </w:r>
      <w:r>
        <w:rPr>
          <w:rFonts w:hint="eastAsia" w:ascii="仿宋_GB2312" w:hAnsi="仿宋_GB2312" w:eastAsia="仿宋_GB2312" w:cs="仿宋_GB2312"/>
          <w:color w:val="000000" w:themeColor="text1"/>
          <w14:textFill>
            <w14:solidFill>
              <w14:schemeClr w14:val="tx1"/>
            </w14:solidFill>
          </w14:textFill>
        </w:rPr>
        <w:t>市20</w:t>
      </w:r>
      <w:r>
        <w:rPr>
          <w:rFonts w:hint="eastAsia" w:ascii="仿宋_GB2312" w:hAnsi="仿宋_GB2312" w:eastAsia="仿宋_GB2312" w:cs="仿宋_GB2312"/>
          <w:color w:val="000000" w:themeColor="text1"/>
          <w:lang w:val="en-US" w:eastAsia="zh-CN"/>
          <w14:textFill>
            <w14:solidFill>
              <w14:schemeClr w14:val="tx1"/>
            </w14:solidFill>
          </w14:textFill>
        </w:rPr>
        <w:t>23</w:t>
      </w:r>
      <w:r>
        <w:rPr>
          <w:rFonts w:hint="eastAsia" w:ascii="仿宋_GB2312" w:hAnsi="仿宋_GB2312" w:eastAsia="仿宋_GB2312" w:cs="仿宋_GB2312"/>
          <w:color w:val="000000" w:themeColor="text1"/>
          <w14:textFill>
            <w14:solidFill>
              <w14:schemeClr w14:val="tx1"/>
            </w14:solidFill>
          </w14:textFill>
        </w:rPr>
        <w:t>年财政预算执行情况和202</w:t>
      </w:r>
      <w:r>
        <w:rPr>
          <w:rFonts w:hint="eastAsia" w:ascii="仿宋_GB2312" w:hAnsi="仿宋_GB2312" w:eastAsia="仿宋_GB2312" w:cs="仿宋_GB2312"/>
          <w:color w:val="000000" w:themeColor="text1"/>
          <w:lang w:val="en-US" w:eastAsia="zh-CN"/>
          <w14:textFill>
            <w14:solidFill>
              <w14:schemeClr w14:val="tx1"/>
            </w14:solidFill>
          </w14:textFill>
        </w:rPr>
        <w:t>4</w:t>
      </w:r>
      <w:r>
        <w:rPr>
          <w:rFonts w:hint="eastAsia" w:ascii="仿宋_GB2312" w:hAnsi="仿宋_GB2312" w:eastAsia="仿宋_GB2312" w:cs="仿宋_GB2312"/>
          <w:color w:val="000000" w:themeColor="text1"/>
          <w14:textFill>
            <w14:solidFill>
              <w14:schemeClr w14:val="tx1"/>
            </w14:solidFill>
          </w14:textFill>
        </w:rPr>
        <w:t>年财政预算草案，提请市</w:t>
      </w:r>
      <w:r>
        <w:rPr>
          <w:rFonts w:hint="eastAsia" w:ascii="仿宋_GB2312" w:hAnsi="仿宋_GB2312" w:eastAsia="仿宋_GB2312" w:cs="仿宋_GB2312"/>
          <w:color w:val="000000" w:themeColor="text1"/>
          <w:lang w:eastAsia="zh-CN"/>
          <w14:textFill>
            <w14:solidFill>
              <w14:schemeClr w14:val="tx1"/>
            </w14:solidFill>
          </w14:textFill>
        </w:rPr>
        <w:t>三</w:t>
      </w:r>
      <w:r>
        <w:rPr>
          <w:rFonts w:hint="eastAsia" w:ascii="仿宋_GB2312" w:hAnsi="仿宋_GB2312" w:eastAsia="仿宋_GB2312" w:cs="仿宋_GB2312"/>
          <w:color w:val="000000" w:themeColor="text1"/>
          <w14:textFill>
            <w14:solidFill>
              <w14:schemeClr w14:val="tx1"/>
            </w14:solidFill>
          </w14:textFill>
        </w:rPr>
        <w:t>届人民代表大会第</w:t>
      </w:r>
      <w:r>
        <w:rPr>
          <w:rFonts w:hint="eastAsia" w:ascii="仿宋_GB2312" w:hAnsi="仿宋_GB2312" w:eastAsia="仿宋_GB2312" w:cs="仿宋_GB2312"/>
          <w:color w:val="000000" w:themeColor="text1"/>
          <w:lang w:val="en-US" w:eastAsia="zh-CN"/>
          <w14:textFill>
            <w14:solidFill>
              <w14:schemeClr w14:val="tx1"/>
            </w14:solidFill>
          </w14:textFill>
        </w:rPr>
        <w:t>四</w:t>
      </w:r>
      <w:r>
        <w:rPr>
          <w:rFonts w:hint="eastAsia" w:ascii="仿宋_GB2312" w:hAnsi="仿宋_GB2312" w:eastAsia="仿宋_GB2312" w:cs="仿宋_GB2312"/>
          <w:color w:val="000000" w:themeColor="text1"/>
          <w14:textFill>
            <w14:solidFill>
              <w14:schemeClr w14:val="tx1"/>
            </w14:solidFill>
          </w14:textFill>
        </w:rPr>
        <w:t>次会议审议，并请列席会议的同志提出意见。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rPr>
      </w:pPr>
      <w:r>
        <w:rPr>
          <w:rFonts w:hint="eastAsia" w:ascii="黑体" w:hAnsi="宋体" w:eastAsia="黑体"/>
        </w:rPr>
        <w:t>一、20</w:t>
      </w:r>
      <w:r>
        <w:rPr>
          <w:rFonts w:hint="eastAsia" w:ascii="黑体" w:hAnsi="宋体" w:eastAsia="黑体"/>
          <w:lang w:val="en-US" w:eastAsia="zh-CN"/>
        </w:rPr>
        <w:t>23</w:t>
      </w:r>
      <w:r>
        <w:rPr>
          <w:rFonts w:hint="eastAsia" w:ascii="黑体" w:hAnsi="宋体" w:eastAsia="黑体"/>
        </w:rPr>
        <w:t>年财政预算执行情况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2023</w:t>
      </w:r>
      <w:r>
        <w:rPr>
          <w:rFonts w:hint="eastAsia" w:ascii="仿宋_GB2312" w:hAnsi="仿宋_GB2312" w:eastAsia="仿宋_GB2312" w:cs="仿宋_GB2312"/>
          <w:color w:val="000000" w:themeColor="text1"/>
          <w14:textFill>
            <w14:solidFill>
              <w14:schemeClr w14:val="tx1"/>
            </w14:solidFill>
          </w14:textFill>
        </w:rPr>
        <w:t>年，</w:t>
      </w:r>
      <w:r>
        <w:rPr>
          <w:rFonts w:hint="eastAsia" w:ascii="仿宋_GB2312" w:hAnsi="仿宋_GB2312" w:eastAsia="仿宋_GB2312" w:cs="仿宋_GB2312"/>
          <w:color w:val="000000" w:themeColor="text1"/>
          <w:lang w:eastAsia="zh-CN"/>
          <w14:textFill>
            <w14:solidFill>
              <w14:schemeClr w14:val="tx1"/>
            </w14:solidFill>
          </w14:textFill>
        </w:rPr>
        <w:t>全市财政工作</w:t>
      </w:r>
      <w:r>
        <w:rPr>
          <w:rFonts w:hint="eastAsia" w:ascii="仿宋_GB2312" w:hAnsi="仿宋_GB2312" w:eastAsia="仿宋_GB2312" w:cs="仿宋_GB2312"/>
          <w:color w:val="000000" w:themeColor="text1"/>
          <w14:textFill>
            <w14:solidFill>
              <w14:schemeClr w14:val="tx1"/>
            </w14:solidFill>
          </w14:textFill>
        </w:rPr>
        <w:t>在市委、市政府的坚强领导下，在市人大</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市政协</w:t>
      </w:r>
      <w:r>
        <w:rPr>
          <w:rFonts w:hint="eastAsia" w:ascii="仿宋_GB2312" w:hAnsi="仿宋_GB2312" w:eastAsia="仿宋_GB2312" w:cs="仿宋_GB2312"/>
          <w:color w:val="000000" w:themeColor="text1"/>
          <w:lang w:eastAsia="zh-CN"/>
          <w14:textFill>
            <w14:solidFill>
              <w14:schemeClr w14:val="tx1"/>
            </w14:solidFill>
          </w14:textFill>
        </w:rPr>
        <w:t>的</w:t>
      </w:r>
      <w:r>
        <w:rPr>
          <w:rFonts w:hint="eastAsia" w:ascii="仿宋_GB2312" w:hAnsi="仿宋_GB2312" w:eastAsia="仿宋_GB2312" w:cs="仿宋_GB2312"/>
          <w:color w:val="000000" w:themeColor="text1"/>
          <w14:textFill>
            <w14:solidFill>
              <w14:schemeClr w14:val="tx1"/>
            </w14:solidFill>
          </w14:textFill>
        </w:rPr>
        <w:t>监督</w:t>
      </w:r>
      <w:r>
        <w:rPr>
          <w:rFonts w:hint="eastAsia" w:ascii="仿宋_GB2312" w:hAnsi="仿宋_GB2312" w:eastAsia="仿宋_GB2312" w:cs="仿宋_GB2312"/>
          <w:color w:val="000000" w:themeColor="text1"/>
          <w:lang w:eastAsia="zh-CN"/>
          <w14:textFill>
            <w14:solidFill>
              <w14:schemeClr w14:val="tx1"/>
            </w14:solidFill>
          </w14:textFill>
        </w:rPr>
        <w:t>支持</w:t>
      </w:r>
      <w:r>
        <w:rPr>
          <w:rFonts w:hint="eastAsia" w:ascii="仿宋_GB2312" w:hAnsi="仿宋_GB2312" w:eastAsia="仿宋_GB2312" w:cs="仿宋_GB2312"/>
          <w:color w:val="000000" w:themeColor="text1"/>
          <w14:textFill>
            <w14:solidFill>
              <w14:schemeClr w14:val="tx1"/>
            </w14:solidFill>
          </w14:textFill>
        </w:rPr>
        <w:t>下，全市上下坚持以习近平新时代中国特色社会主义思想为指导，深入学习贯彻党的二十大精神，紧紧围绕市委、市政府决策部署，扎实做好“六稳”工作、全面落实“六保”任务，切实做好生财、聚财、用财各项工作，落实积极财政政策，防范化解财政风险，突出重点领域资金保障，</w:t>
      </w:r>
      <w:r>
        <w:rPr>
          <w:rFonts w:hint="eastAsia" w:ascii="仿宋_GB2312" w:hAnsi="仿宋_GB2312" w:eastAsia="仿宋_GB2312" w:cs="仿宋_GB2312"/>
          <w:color w:val="000000" w:themeColor="text1"/>
          <w:lang w:eastAsia="zh-CN"/>
          <w14:textFill>
            <w14:solidFill>
              <w14:schemeClr w14:val="tx1"/>
            </w14:solidFill>
          </w14:textFill>
        </w:rPr>
        <w:t>落实高质量发展要求，</w:t>
      </w:r>
      <w:r>
        <w:rPr>
          <w:rFonts w:hint="eastAsia" w:ascii="仿宋_GB2312" w:hAnsi="仿宋_GB2312" w:eastAsia="仿宋_GB2312" w:cs="仿宋_GB2312"/>
          <w:color w:val="000000" w:themeColor="text1"/>
          <w14:textFill>
            <w14:solidFill>
              <w14:schemeClr w14:val="tx1"/>
            </w14:solidFill>
          </w14:textFill>
        </w:rPr>
        <w:t>预算执行情况总体较好，</w:t>
      </w:r>
      <w:r>
        <w:rPr>
          <w:rFonts w:hint="eastAsia" w:ascii="仿宋_GB2312" w:hAnsi="仿宋_GB2312" w:eastAsia="仿宋_GB2312" w:cs="仿宋_GB2312"/>
          <w:color w:val="000000" w:themeColor="text1"/>
          <w:lang w:eastAsia="zh-CN"/>
          <w14:textFill>
            <w14:solidFill>
              <w14:schemeClr w14:val="tx1"/>
            </w14:solidFill>
          </w14:textFill>
        </w:rPr>
        <w:t>执行情况如下：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rPr>
      </w:pPr>
      <w:r>
        <w:rPr>
          <w:rFonts w:hint="eastAsia" w:ascii="楷体_GB2312" w:hAnsi="宋体" w:eastAsia="楷体_GB2312"/>
          <w:b/>
        </w:rPr>
        <w:t>（一）一般公共预算执行情况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b/>
        </w:rPr>
      </w:pPr>
      <w:r>
        <w:rPr>
          <w:rFonts w:hint="eastAsia" w:ascii="仿宋_GB2312" w:hAnsi="仿宋_GB2312" w:eastAsia="仿宋_GB2312" w:cs="仿宋_GB2312"/>
          <w:b/>
        </w:rPr>
        <w:t>1.一般公共预算收入执行情况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highlight w:val="none"/>
          <w:lang w:eastAsia="zh-CN"/>
          <w14:textFill>
            <w14:solidFill>
              <w14:schemeClr w14:val="tx1"/>
            </w14:solidFill>
          </w14:textFill>
        </w:rPr>
        <w:t>根据预计完成数（下同），202</w:t>
      </w:r>
      <w:r>
        <w:rPr>
          <w:rFonts w:hint="eastAsia" w:ascii="仿宋_GB2312" w:hAnsi="宋体" w:eastAsia="仿宋_GB2312"/>
          <w:color w:val="000000" w:themeColor="text1"/>
          <w:highlight w:val="none"/>
          <w:lang w:val="en-US" w:eastAsia="zh-CN"/>
          <w14:textFill>
            <w14:solidFill>
              <w14:schemeClr w14:val="tx1"/>
            </w14:solidFill>
          </w14:textFill>
        </w:rPr>
        <w:t>3</w:t>
      </w:r>
      <w:r>
        <w:rPr>
          <w:rFonts w:hint="eastAsia" w:ascii="仿宋_GB2312" w:hAnsi="宋体" w:eastAsia="仿宋_GB2312"/>
          <w:color w:val="000000" w:themeColor="text1"/>
          <w:highlight w:val="none"/>
          <w:lang w:eastAsia="zh-CN"/>
          <w14:textFill>
            <w14:solidFill>
              <w14:schemeClr w14:val="tx1"/>
            </w14:solidFill>
          </w14:textFill>
        </w:rPr>
        <w:t>年，全市财政总收入预计完成</w:t>
      </w:r>
      <w:r>
        <w:rPr>
          <w:rFonts w:hint="eastAsia" w:ascii="仿宋_GB2312" w:hAnsi="宋体" w:eastAsia="仿宋_GB2312"/>
          <w:color w:val="000000" w:themeColor="text1"/>
          <w:highlight w:val="none"/>
          <w:lang w:val="en-US" w:eastAsia="zh-CN"/>
          <w14:textFill>
            <w14:solidFill>
              <w14:schemeClr w14:val="tx1"/>
            </w14:solidFill>
          </w14:textFill>
        </w:rPr>
        <w:t>627,349</w:t>
      </w:r>
      <w:r>
        <w:rPr>
          <w:rFonts w:hint="eastAsia" w:ascii="仿宋_GB2312" w:hAnsi="宋体" w:eastAsia="仿宋_GB2312"/>
          <w:color w:val="000000" w:themeColor="text1"/>
          <w:highlight w:val="none"/>
          <w:lang w:eastAsia="zh-CN"/>
          <w14:textFill>
            <w14:solidFill>
              <w14:schemeClr w14:val="tx1"/>
            </w14:solidFill>
          </w14:textFill>
        </w:rPr>
        <w:t>万元，同比增长</w:t>
      </w:r>
      <w:r>
        <w:rPr>
          <w:rFonts w:hint="eastAsia" w:ascii="仿宋_GB2312" w:hAnsi="宋体" w:eastAsia="仿宋_GB2312"/>
          <w:color w:val="000000" w:themeColor="text1"/>
          <w:highlight w:val="none"/>
          <w:lang w:val="en-US" w:eastAsia="zh-CN"/>
          <w14:textFill>
            <w14:solidFill>
              <w14:schemeClr w14:val="tx1"/>
            </w14:solidFill>
          </w14:textFill>
        </w:rPr>
        <w:t>2.94</w:t>
      </w:r>
      <w:r>
        <w:rPr>
          <w:rFonts w:hint="eastAsia" w:ascii="仿宋_GB2312" w:hAnsi="宋体" w:eastAsia="仿宋_GB2312"/>
          <w:color w:val="000000" w:themeColor="text1"/>
          <w:highlight w:val="none"/>
          <w:lang w:eastAsia="zh-CN"/>
          <w14:textFill>
            <w14:solidFill>
              <w14:schemeClr w14:val="tx1"/>
            </w14:solidFill>
          </w14:textFill>
        </w:rPr>
        <w:t>%，税比93.</w:t>
      </w:r>
      <w:r>
        <w:rPr>
          <w:rFonts w:hint="eastAsia" w:ascii="仿宋_GB2312" w:hAnsi="宋体" w:eastAsia="仿宋_GB2312"/>
          <w:color w:val="000000" w:themeColor="text1"/>
          <w:highlight w:val="none"/>
          <w:lang w:val="en-US" w:eastAsia="zh-CN"/>
          <w14:textFill>
            <w14:solidFill>
              <w14:schemeClr w14:val="tx1"/>
            </w14:solidFill>
          </w14:textFill>
        </w:rPr>
        <w:t>78</w:t>
      </w:r>
      <w:r>
        <w:rPr>
          <w:rFonts w:hint="eastAsia" w:ascii="仿宋_GB2312" w:hAnsi="宋体" w:eastAsia="仿宋_GB2312"/>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highlight w:val="none"/>
          <w:lang w:eastAsia="zh-CN"/>
          <w14:textFill>
            <w14:solidFill>
              <w14:schemeClr w14:val="tx1"/>
            </w14:solidFill>
          </w14:textFill>
        </w:rPr>
        <w:t>分收入级次完成情况：一般公共预算收入完成</w:t>
      </w:r>
      <w:r>
        <w:rPr>
          <w:rFonts w:hint="eastAsia" w:ascii="仿宋_GB2312" w:hAnsi="宋体" w:eastAsia="仿宋_GB2312"/>
          <w:color w:val="000000" w:themeColor="text1"/>
          <w:highlight w:val="none"/>
          <w:lang w:val="en-US" w:eastAsia="zh-CN"/>
          <w14:textFill>
            <w14:solidFill>
              <w14:schemeClr w14:val="tx1"/>
            </w14:solidFill>
          </w14:textFill>
        </w:rPr>
        <w:t>240,855</w:t>
      </w:r>
      <w:r>
        <w:rPr>
          <w:rFonts w:hint="eastAsia" w:ascii="仿宋_GB2312" w:hAnsi="宋体" w:eastAsia="仿宋_GB2312"/>
          <w:color w:val="000000" w:themeColor="text1"/>
          <w:highlight w:val="none"/>
          <w:lang w:eastAsia="zh-CN"/>
          <w14:textFill>
            <w14:solidFill>
              <w14:schemeClr w14:val="tx1"/>
            </w14:solidFill>
          </w14:textFill>
        </w:rPr>
        <w:t>万元，比上年增收1</w:t>
      </w:r>
      <w:r>
        <w:rPr>
          <w:rFonts w:hint="eastAsia" w:ascii="仿宋_GB2312" w:hAnsi="宋体" w:eastAsia="仿宋_GB2312"/>
          <w:color w:val="000000" w:themeColor="text1"/>
          <w:highlight w:val="none"/>
          <w:lang w:val="en-US" w:eastAsia="zh-CN"/>
          <w14:textFill>
            <w14:solidFill>
              <w14:schemeClr w14:val="tx1"/>
            </w14:solidFill>
          </w14:textFill>
        </w:rPr>
        <w:t>5,204</w:t>
      </w:r>
      <w:r>
        <w:rPr>
          <w:rFonts w:hint="eastAsia" w:ascii="仿宋_GB2312" w:hAnsi="宋体" w:eastAsia="仿宋_GB2312"/>
          <w:color w:val="000000" w:themeColor="text1"/>
          <w:highlight w:val="none"/>
          <w:lang w:eastAsia="zh-CN"/>
          <w14:textFill>
            <w14:solidFill>
              <w14:schemeClr w14:val="tx1"/>
            </w14:solidFill>
          </w14:textFill>
        </w:rPr>
        <w:t>万元，同比增长</w:t>
      </w:r>
      <w:r>
        <w:rPr>
          <w:rFonts w:hint="eastAsia" w:ascii="仿宋_GB2312" w:hAnsi="宋体" w:eastAsia="仿宋_GB2312"/>
          <w:color w:val="000000" w:themeColor="text1"/>
          <w:highlight w:val="none"/>
          <w:lang w:val="en-US" w:eastAsia="zh-CN"/>
          <w14:textFill>
            <w14:solidFill>
              <w14:schemeClr w14:val="tx1"/>
            </w14:solidFill>
          </w14:textFill>
        </w:rPr>
        <w:t>6.74</w:t>
      </w:r>
      <w:r>
        <w:rPr>
          <w:rFonts w:hint="eastAsia" w:ascii="仿宋_GB2312" w:hAnsi="宋体" w:eastAsia="仿宋_GB2312"/>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highlight w:val="none"/>
          <w:lang w:eastAsia="zh-CN"/>
          <w14:textFill>
            <w14:solidFill>
              <w14:schemeClr w14:val="tx1"/>
            </w14:solidFill>
          </w14:textFill>
        </w:rPr>
        <w:t>分征收部门完成情况：税务部门完成</w:t>
      </w:r>
      <w:r>
        <w:rPr>
          <w:rFonts w:hint="eastAsia" w:ascii="仿宋_GB2312" w:hAnsi="宋体" w:eastAsia="仿宋_GB2312"/>
          <w:color w:val="000000" w:themeColor="text1"/>
          <w:highlight w:val="none"/>
          <w:lang w:val="en-US" w:eastAsia="zh-CN"/>
          <w14:textFill>
            <w14:solidFill>
              <w14:schemeClr w14:val="tx1"/>
            </w14:solidFill>
          </w14:textFill>
        </w:rPr>
        <w:t>588,353</w:t>
      </w:r>
      <w:r>
        <w:rPr>
          <w:rFonts w:hint="eastAsia" w:ascii="仿宋_GB2312" w:hAnsi="宋体" w:eastAsia="仿宋_GB2312"/>
          <w:color w:val="000000" w:themeColor="text1"/>
          <w:highlight w:val="none"/>
          <w:lang w:eastAsia="zh-CN"/>
          <w14:textFill>
            <w14:solidFill>
              <w14:schemeClr w14:val="tx1"/>
            </w14:solidFill>
          </w14:textFill>
        </w:rPr>
        <w:t>万元，比上年增收</w:t>
      </w:r>
      <w:r>
        <w:rPr>
          <w:rFonts w:hint="eastAsia" w:ascii="仿宋_GB2312" w:hAnsi="宋体" w:eastAsia="仿宋_GB2312"/>
          <w:color w:val="000000" w:themeColor="text1"/>
          <w:highlight w:val="none"/>
          <w:lang w:val="en-US" w:eastAsia="zh-CN"/>
          <w14:textFill>
            <w14:solidFill>
              <w14:schemeClr w14:val="tx1"/>
            </w14:solidFill>
          </w14:textFill>
        </w:rPr>
        <w:t>17,524</w:t>
      </w:r>
      <w:r>
        <w:rPr>
          <w:rFonts w:hint="eastAsia" w:ascii="仿宋_GB2312" w:hAnsi="宋体" w:eastAsia="仿宋_GB2312"/>
          <w:color w:val="000000" w:themeColor="text1"/>
          <w:highlight w:val="none"/>
          <w:lang w:eastAsia="zh-CN"/>
          <w14:textFill>
            <w14:solidFill>
              <w14:schemeClr w14:val="tx1"/>
            </w14:solidFill>
          </w14:textFill>
        </w:rPr>
        <w:t>万元，增长</w:t>
      </w:r>
      <w:r>
        <w:rPr>
          <w:rFonts w:hint="eastAsia" w:ascii="仿宋_GB2312" w:hAnsi="宋体" w:eastAsia="仿宋_GB2312"/>
          <w:color w:val="000000" w:themeColor="text1"/>
          <w:highlight w:val="none"/>
          <w:lang w:val="en-US" w:eastAsia="zh-CN"/>
          <w14:textFill>
            <w14:solidFill>
              <w14:schemeClr w14:val="tx1"/>
            </w14:solidFill>
          </w14:textFill>
        </w:rPr>
        <w:t>3.07%</w:t>
      </w:r>
      <w:r>
        <w:rPr>
          <w:rFonts w:hint="eastAsia" w:ascii="仿宋_GB2312" w:hAnsi="宋体" w:eastAsia="仿宋_GB2312"/>
          <w:color w:val="000000" w:themeColor="text1"/>
          <w:highlight w:val="none"/>
          <w:lang w:eastAsia="zh-CN"/>
          <w14:textFill>
            <w14:solidFill>
              <w14:schemeClr w14:val="tx1"/>
            </w14:solidFill>
          </w14:textFill>
        </w:rPr>
        <w:t>；财政部门完成38</w:t>
      </w:r>
      <w:r>
        <w:rPr>
          <w:rFonts w:hint="eastAsia" w:ascii="仿宋_GB2312" w:hAnsi="宋体" w:eastAsia="仿宋_GB2312"/>
          <w:color w:val="000000" w:themeColor="text1"/>
          <w:highlight w:val="none"/>
          <w:lang w:val="en-US" w:eastAsia="zh-CN"/>
          <w14:textFill>
            <w14:solidFill>
              <w14:schemeClr w14:val="tx1"/>
            </w14:solidFill>
          </w14:textFill>
        </w:rPr>
        <w:t>,996</w:t>
      </w:r>
      <w:r>
        <w:rPr>
          <w:rFonts w:hint="eastAsia" w:ascii="仿宋_GB2312" w:hAnsi="宋体" w:eastAsia="仿宋_GB2312"/>
          <w:color w:val="000000" w:themeColor="text1"/>
          <w:highlight w:val="none"/>
          <w:lang w:eastAsia="zh-CN"/>
          <w14:textFill>
            <w14:solidFill>
              <w14:schemeClr w14:val="tx1"/>
            </w14:solidFill>
          </w14:textFill>
        </w:rPr>
        <w:t>万元，比上年增收</w:t>
      </w:r>
      <w:r>
        <w:rPr>
          <w:rFonts w:hint="eastAsia" w:ascii="仿宋_GB2312" w:hAnsi="宋体" w:eastAsia="仿宋_GB2312"/>
          <w:color w:val="000000" w:themeColor="text1"/>
          <w:highlight w:val="none"/>
          <w:lang w:val="en-US" w:eastAsia="zh-CN"/>
          <w14:textFill>
            <w14:solidFill>
              <w14:schemeClr w14:val="tx1"/>
            </w14:solidFill>
          </w14:textFill>
        </w:rPr>
        <w:t>367</w:t>
      </w:r>
      <w:r>
        <w:rPr>
          <w:rFonts w:hint="eastAsia" w:ascii="仿宋_GB2312" w:hAnsi="宋体" w:eastAsia="仿宋_GB2312"/>
          <w:color w:val="000000" w:themeColor="text1"/>
          <w:highlight w:val="none"/>
          <w:lang w:eastAsia="zh-CN"/>
          <w14:textFill>
            <w14:solidFill>
              <w14:schemeClr w14:val="tx1"/>
            </w14:solidFill>
          </w14:textFill>
        </w:rPr>
        <w:t>万元，增长</w:t>
      </w:r>
      <w:r>
        <w:rPr>
          <w:rFonts w:hint="eastAsia" w:ascii="仿宋_GB2312" w:hAnsi="宋体" w:eastAsia="仿宋_GB2312"/>
          <w:color w:val="000000" w:themeColor="text1"/>
          <w:highlight w:val="none"/>
          <w:lang w:val="en-US" w:eastAsia="zh-CN"/>
          <w14:textFill>
            <w14:solidFill>
              <w14:schemeClr w14:val="tx1"/>
            </w14:solidFill>
          </w14:textFill>
        </w:rPr>
        <w:t>0.95</w:t>
      </w:r>
      <w:r>
        <w:rPr>
          <w:rFonts w:hint="eastAsia" w:ascii="仿宋_GB2312" w:hAnsi="宋体" w:eastAsia="仿宋_GB2312"/>
          <w:color w:val="000000" w:themeColor="text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b/>
          <w:highlight w:val="none"/>
        </w:rPr>
      </w:pPr>
      <w:r>
        <w:rPr>
          <w:rFonts w:hint="eastAsia" w:ascii="仿宋_GB2312" w:hAnsi="宋体" w:eastAsia="仿宋_GB2312"/>
          <w:b/>
          <w:highlight w:val="none"/>
        </w:rPr>
        <w:t>2.一般公共预算支出执行情况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rPr>
        <w:t>20</w:t>
      </w:r>
      <w:r>
        <w:rPr>
          <w:rFonts w:hint="eastAsia" w:ascii="仿宋_GB2312" w:hAnsi="宋体" w:eastAsia="仿宋_GB2312"/>
          <w:highlight w:val="none"/>
          <w:lang w:val="en-US" w:eastAsia="zh-CN"/>
        </w:rPr>
        <w:t>23</w:t>
      </w:r>
      <w:r>
        <w:rPr>
          <w:rFonts w:hint="eastAsia" w:ascii="仿宋_GB2312" w:hAnsi="宋体" w:eastAsia="仿宋_GB2312"/>
          <w:highlight w:val="none"/>
        </w:rPr>
        <w:t>年一般公共预算支出执行数</w:t>
      </w:r>
      <w:r>
        <w:rPr>
          <w:rFonts w:hint="eastAsia" w:ascii="仿宋_GB2312" w:hAnsi="宋体" w:eastAsia="仿宋_GB2312"/>
          <w:highlight w:val="none"/>
          <w:lang w:val="en-US" w:eastAsia="zh-CN"/>
        </w:rPr>
        <w:t>357,592</w:t>
      </w:r>
      <w:r>
        <w:rPr>
          <w:rFonts w:hint="eastAsia" w:ascii="仿宋_GB2312" w:hAnsi="宋体" w:eastAsia="仿宋_GB2312"/>
          <w:highlight w:val="none"/>
        </w:rPr>
        <w:t>万元，比上年决算数增加</w:t>
      </w:r>
      <w:r>
        <w:rPr>
          <w:rFonts w:hint="eastAsia" w:ascii="仿宋_GB2312" w:hAnsi="宋体" w:eastAsia="仿宋_GB2312"/>
          <w:highlight w:val="none"/>
          <w:lang w:val="en-US" w:eastAsia="zh-CN"/>
        </w:rPr>
        <w:t>4,998</w:t>
      </w:r>
      <w:r>
        <w:rPr>
          <w:rFonts w:hint="eastAsia" w:ascii="仿宋_GB2312" w:hAnsi="宋体" w:eastAsia="仿宋_GB2312"/>
          <w:highlight w:val="none"/>
        </w:rPr>
        <w:t>万元，增长</w:t>
      </w:r>
      <w:r>
        <w:rPr>
          <w:rFonts w:hint="eastAsia" w:ascii="仿宋_GB2312" w:hAnsi="宋体" w:eastAsia="仿宋_GB2312"/>
          <w:highlight w:val="none"/>
          <w:lang w:val="en-US" w:eastAsia="zh-CN"/>
        </w:rPr>
        <w:t>1.42</w:t>
      </w:r>
      <w:r>
        <w:rPr>
          <w:rFonts w:hint="eastAsia" w:ascii="仿宋_GB2312" w:hAnsi="宋体" w:eastAsia="仿宋_GB2312"/>
          <w:highlight w:val="none"/>
        </w:rPr>
        <w:t>%。主要项目支出情况是：一般公共服务支出</w:t>
      </w:r>
      <w:r>
        <w:rPr>
          <w:rFonts w:hint="eastAsia" w:ascii="仿宋_GB2312" w:hAnsi="宋体" w:eastAsia="仿宋_GB2312"/>
          <w:highlight w:val="none"/>
          <w:lang w:val="en-US" w:eastAsia="zh-CN"/>
        </w:rPr>
        <w:t>25,432</w:t>
      </w:r>
      <w:r>
        <w:rPr>
          <w:rFonts w:hint="eastAsia" w:ascii="仿宋_GB2312" w:hAnsi="宋体" w:eastAsia="仿宋_GB2312"/>
          <w:highlight w:val="none"/>
        </w:rPr>
        <w:t>万元；国防支出</w:t>
      </w:r>
      <w:r>
        <w:rPr>
          <w:rFonts w:hint="eastAsia" w:ascii="仿宋_GB2312" w:hAnsi="宋体" w:eastAsia="仿宋_GB2312"/>
          <w:highlight w:val="none"/>
          <w:lang w:val="en-US" w:eastAsia="zh-CN"/>
        </w:rPr>
        <w:t>329</w:t>
      </w:r>
      <w:r>
        <w:rPr>
          <w:rFonts w:hint="eastAsia" w:ascii="仿宋_GB2312" w:hAnsi="宋体" w:eastAsia="仿宋_GB2312"/>
          <w:highlight w:val="none"/>
        </w:rPr>
        <w:t>万元；公共安全支出</w:t>
      </w:r>
      <w:r>
        <w:rPr>
          <w:rFonts w:hint="eastAsia" w:ascii="仿宋_GB2312" w:hAnsi="宋体" w:eastAsia="仿宋_GB2312"/>
          <w:highlight w:val="none"/>
          <w:lang w:val="en-US" w:eastAsia="zh-CN"/>
        </w:rPr>
        <w:t>8,678</w:t>
      </w:r>
      <w:r>
        <w:rPr>
          <w:rFonts w:hint="eastAsia" w:ascii="仿宋_GB2312" w:hAnsi="宋体" w:eastAsia="仿宋_GB2312"/>
          <w:highlight w:val="none"/>
        </w:rPr>
        <w:t>万元；教育支出</w:t>
      </w:r>
      <w:r>
        <w:rPr>
          <w:rFonts w:hint="eastAsia" w:ascii="仿宋_GB2312" w:hAnsi="宋体" w:eastAsia="仿宋_GB2312"/>
          <w:highlight w:val="none"/>
          <w:lang w:val="en-US" w:eastAsia="zh-CN"/>
        </w:rPr>
        <w:t>66,897</w:t>
      </w:r>
      <w:r>
        <w:rPr>
          <w:rFonts w:hint="eastAsia" w:ascii="仿宋_GB2312" w:hAnsi="宋体" w:eastAsia="仿宋_GB2312"/>
          <w:highlight w:val="none"/>
        </w:rPr>
        <w:t>万元；科学技术支出</w:t>
      </w:r>
      <w:r>
        <w:rPr>
          <w:rFonts w:hint="eastAsia" w:ascii="仿宋_GB2312" w:hAnsi="宋体" w:eastAsia="仿宋_GB2312"/>
          <w:highlight w:val="none"/>
          <w:lang w:val="en-US" w:eastAsia="zh-CN"/>
        </w:rPr>
        <w:t>16,429</w:t>
      </w:r>
      <w:r>
        <w:rPr>
          <w:rFonts w:hint="eastAsia" w:ascii="仿宋_GB2312" w:hAnsi="宋体" w:eastAsia="仿宋_GB2312"/>
          <w:highlight w:val="none"/>
        </w:rPr>
        <w:t>万元；文化旅游体育与传媒支出</w:t>
      </w:r>
      <w:r>
        <w:rPr>
          <w:rFonts w:hint="eastAsia" w:ascii="仿宋_GB2312" w:hAnsi="宋体" w:eastAsia="仿宋_GB2312"/>
          <w:highlight w:val="none"/>
          <w:lang w:val="en-US" w:eastAsia="zh-CN"/>
        </w:rPr>
        <w:t>12,510</w:t>
      </w:r>
      <w:r>
        <w:rPr>
          <w:rFonts w:hint="eastAsia" w:ascii="仿宋_GB2312" w:hAnsi="宋体" w:eastAsia="仿宋_GB2312"/>
          <w:highlight w:val="none"/>
        </w:rPr>
        <w:t>万元；社会保障和就业支出</w:t>
      </w:r>
      <w:r>
        <w:rPr>
          <w:rFonts w:hint="eastAsia" w:ascii="仿宋_GB2312" w:hAnsi="宋体" w:eastAsia="仿宋_GB2312"/>
          <w:highlight w:val="none"/>
          <w:lang w:val="en-US" w:eastAsia="zh-CN"/>
        </w:rPr>
        <w:t>21,148</w:t>
      </w:r>
      <w:r>
        <w:rPr>
          <w:rFonts w:hint="eastAsia" w:ascii="仿宋_GB2312" w:hAnsi="宋体" w:eastAsia="仿宋_GB2312"/>
          <w:highlight w:val="none"/>
        </w:rPr>
        <w:t>万元；卫生健康支出</w:t>
      </w:r>
      <w:r>
        <w:rPr>
          <w:rFonts w:hint="eastAsia" w:ascii="仿宋_GB2312" w:hAnsi="宋体" w:eastAsia="仿宋_GB2312"/>
          <w:highlight w:val="none"/>
          <w:lang w:val="en-US" w:eastAsia="zh-CN"/>
        </w:rPr>
        <w:t>16,395</w:t>
      </w:r>
      <w:r>
        <w:rPr>
          <w:rFonts w:hint="eastAsia" w:ascii="仿宋_GB2312" w:hAnsi="宋体" w:eastAsia="仿宋_GB2312"/>
          <w:highlight w:val="none"/>
        </w:rPr>
        <w:t>万元；节能环保支出</w:t>
      </w:r>
      <w:r>
        <w:rPr>
          <w:rFonts w:hint="eastAsia" w:ascii="仿宋_GB2312" w:hAnsi="宋体" w:eastAsia="仿宋_GB2312"/>
          <w:highlight w:val="none"/>
          <w:lang w:val="en-US" w:eastAsia="zh-CN"/>
        </w:rPr>
        <w:t>15,586</w:t>
      </w:r>
      <w:r>
        <w:rPr>
          <w:rFonts w:hint="eastAsia" w:ascii="仿宋_GB2312" w:hAnsi="宋体" w:eastAsia="仿宋_GB2312"/>
          <w:highlight w:val="none"/>
        </w:rPr>
        <w:t>万元；城乡社区支出</w:t>
      </w:r>
      <w:r>
        <w:rPr>
          <w:rFonts w:hint="eastAsia" w:ascii="仿宋_GB2312" w:hAnsi="宋体" w:eastAsia="仿宋_GB2312"/>
          <w:highlight w:val="none"/>
          <w:lang w:val="en-US" w:eastAsia="zh-CN"/>
        </w:rPr>
        <w:t>95,845</w:t>
      </w:r>
      <w:r>
        <w:rPr>
          <w:rFonts w:hint="eastAsia" w:ascii="仿宋_GB2312" w:hAnsi="宋体" w:eastAsia="仿宋_GB2312"/>
          <w:highlight w:val="none"/>
        </w:rPr>
        <w:t>万元；农林水支出</w:t>
      </w:r>
      <w:r>
        <w:rPr>
          <w:rFonts w:hint="eastAsia" w:ascii="仿宋_GB2312" w:hAnsi="宋体" w:eastAsia="仿宋_GB2312"/>
          <w:highlight w:val="none"/>
          <w:lang w:val="en-US" w:eastAsia="zh-CN"/>
        </w:rPr>
        <w:t>34,611</w:t>
      </w:r>
      <w:r>
        <w:rPr>
          <w:rFonts w:hint="eastAsia" w:ascii="仿宋_GB2312" w:hAnsi="宋体" w:eastAsia="仿宋_GB2312"/>
          <w:highlight w:val="none"/>
        </w:rPr>
        <w:t>万元；交通运输支出</w:t>
      </w:r>
      <w:r>
        <w:rPr>
          <w:rFonts w:hint="eastAsia" w:ascii="仿宋_GB2312" w:hAnsi="宋体" w:eastAsia="仿宋_GB2312"/>
          <w:highlight w:val="none"/>
          <w:lang w:val="en-US" w:eastAsia="zh-CN"/>
        </w:rPr>
        <w:t>2,541</w:t>
      </w:r>
      <w:r>
        <w:rPr>
          <w:rFonts w:hint="eastAsia" w:ascii="仿宋_GB2312" w:hAnsi="宋体" w:eastAsia="仿宋_GB2312"/>
          <w:highlight w:val="none"/>
        </w:rPr>
        <w:t>万元；资源勘探信息等支出</w:t>
      </w:r>
      <w:r>
        <w:rPr>
          <w:rFonts w:hint="eastAsia" w:ascii="仿宋_GB2312" w:hAnsi="宋体" w:eastAsia="仿宋_GB2312"/>
          <w:highlight w:val="none"/>
          <w:lang w:val="en-US" w:eastAsia="zh-CN"/>
        </w:rPr>
        <w:t>3,262</w:t>
      </w:r>
      <w:r>
        <w:rPr>
          <w:rFonts w:hint="eastAsia" w:ascii="仿宋_GB2312" w:hAnsi="宋体" w:eastAsia="仿宋_GB2312"/>
          <w:highlight w:val="none"/>
        </w:rPr>
        <w:t>万元；商业服务业等支出</w:t>
      </w:r>
      <w:r>
        <w:rPr>
          <w:rFonts w:hint="eastAsia" w:ascii="仿宋_GB2312" w:hAnsi="宋体" w:eastAsia="仿宋_GB2312"/>
          <w:highlight w:val="none"/>
          <w:lang w:val="en-US" w:eastAsia="zh-CN"/>
        </w:rPr>
        <w:t>1,452</w:t>
      </w:r>
      <w:r>
        <w:rPr>
          <w:rFonts w:hint="eastAsia" w:ascii="仿宋_GB2312" w:hAnsi="宋体" w:eastAsia="仿宋_GB2312"/>
          <w:highlight w:val="none"/>
        </w:rPr>
        <w:t>万元；</w:t>
      </w:r>
      <w:r>
        <w:rPr>
          <w:rFonts w:hint="eastAsia" w:ascii="仿宋_GB2312" w:hAnsi="宋体" w:eastAsia="仿宋_GB2312"/>
          <w:highlight w:val="none"/>
          <w:lang w:eastAsia="zh-CN"/>
        </w:rPr>
        <w:t>金融支出</w:t>
      </w:r>
      <w:r>
        <w:rPr>
          <w:rFonts w:hint="eastAsia" w:ascii="仿宋_GB2312" w:hAnsi="宋体" w:eastAsia="仿宋_GB2312"/>
          <w:highlight w:val="none"/>
          <w:lang w:val="en-US" w:eastAsia="zh-CN"/>
        </w:rPr>
        <w:t>14,993万元；</w:t>
      </w:r>
      <w:r>
        <w:rPr>
          <w:rFonts w:hint="eastAsia" w:ascii="仿宋_GB2312" w:hAnsi="宋体" w:eastAsia="仿宋_GB2312"/>
          <w:highlight w:val="none"/>
        </w:rPr>
        <w:t>自然资源海洋气象等支出</w:t>
      </w:r>
      <w:r>
        <w:rPr>
          <w:rFonts w:hint="eastAsia" w:ascii="仿宋_GB2312" w:hAnsi="宋体" w:eastAsia="仿宋_GB2312"/>
          <w:highlight w:val="none"/>
          <w:lang w:val="en-US" w:eastAsia="zh-CN"/>
        </w:rPr>
        <w:t>1,653</w:t>
      </w:r>
      <w:r>
        <w:rPr>
          <w:rFonts w:hint="eastAsia" w:ascii="仿宋_GB2312" w:hAnsi="宋体" w:eastAsia="仿宋_GB2312"/>
          <w:highlight w:val="none"/>
        </w:rPr>
        <w:t>万元；住房保障支出</w:t>
      </w:r>
      <w:r>
        <w:rPr>
          <w:rFonts w:hint="eastAsia" w:ascii="仿宋_GB2312" w:hAnsi="宋体" w:eastAsia="仿宋_GB2312"/>
          <w:highlight w:val="none"/>
          <w:lang w:val="en-US" w:eastAsia="zh-CN"/>
        </w:rPr>
        <w:t>8,697</w:t>
      </w:r>
      <w:r>
        <w:rPr>
          <w:rFonts w:hint="eastAsia" w:ascii="仿宋_GB2312" w:hAnsi="宋体" w:eastAsia="仿宋_GB2312"/>
          <w:highlight w:val="none"/>
        </w:rPr>
        <w:t>万元；粮油物资储备支出</w:t>
      </w:r>
      <w:r>
        <w:rPr>
          <w:rFonts w:hint="eastAsia" w:ascii="仿宋_GB2312" w:hAnsi="宋体" w:eastAsia="仿宋_GB2312"/>
          <w:highlight w:val="none"/>
          <w:lang w:val="en-US" w:eastAsia="zh-CN"/>
        </w:rPr>
        <w:t>604</w:t>
      </w:r>
      <w:r>
        <w:rPr>
          <w:rFonts w:hint="eastAsia" w:ascii="仿宋_GB2312" w:hAnsi="宋体" w:eastAsia="仿宋_GB2312"/>
          <w:highlight w:val="none"/>
        </w:rPr>
        <w:t>万元；灾害防治及应急管理支出</w:t>
      </w:r>
      <w:r>
        <w:rPr>
          <w:rFonts w:hint="eastAsia" w:ascii="仿宋_GB2312" w:hAnsi="宋体" w:eastAsia="仿宋_GB2312"/>
          <w:highlight w:val="none"/>
          <w:lang w:val="en-US" w:eastAsia="zh-CN"/>
        </w:rPr>
        <w:t>2,260</w:t>
      </w:r>
      <w:r>
        <w:rPr>
          <w:rFonts w:hint="eastAsia" w:ascii="仿宋_GB2312" w:hAnsi="宋体" w:eastAsia="仿宋_GB2312"/>
          <w:highlight w:val="none"/>
        </w:rPr>
        <w:t>万元；其他支出</w:t>
      </w:r>
      <w:r>
        <w:rPr>
          <w:rFonts w:hint="eastAsia" w:ascii="仿宋_GB2312" w:hAnsi="宋体" w:eastAsia="仿宋_GB2312"/>
          <w:highlight w:val="none"/>
          <w:lang w:val="en-US" w:eastAsia="zh-CN"/>
        </w:rPr>
        <w:t>316</w:t>
      </w:r>
      <w:r>
        <w:rPr>
          <w:rFonts w:hint="eastAsia" w:ascii="仿宋_GB2312" w:hAnsi="宋体" w:eastAsia="仿宋_GB2312"/>
          <w:highlight w:val="none"/>
        </w:rPr>
        <w:t>万元；债务付息支出</w:t>
      </w:r>
      <w:r>
        <w:rPr>
          <w:rFonts w:hint="eastAsia" w:ascii="仿宋_GB2312" w:hAnsi="宋体" w:eastAsia="仿宋_GB2312"/>
          <w:highlight w:val="none"/>
          <w:lang w:val="en-US" w:eastAsia="zh-CN"/>
        </w:rPr>
        <w:t>7,930</w:t>
      </w:r>
      <w:r>
        <w:rPr>
          <w:rFonts w:hint="eastAsia" w:ascii="仿宋_GB2312" w:hAnsi="宋体" w:eastAsia="仿宋_GB2312"/>
          <w:highlight w:val="none"/>
        </w:rPr>
        <w:t>万元</w:t>
      </w:r>
      <w:r>
        <w:rPr>
          <w:rFonts w:hint="eastAsia" w:ascii="仿宋_GB2312" w:hAnsi="宋体" w:eastAsia="仿宋_GB2312"/>
          <w:highlight w:val="none"/>
          <w:lang w:eastAsia="zh-CN"/>
        </w:rPr>
        <w:t>；债务发行费用支出</w:t>
      </w:r>
      <w:r>
        <w:rPr>
          <w:rFonts w:hint="eastAsia" w:ascii="仿宋_GB2312" w:hAnsi="宋体" w:eastAsia="仿宋_GB2312"/>
          <w:highlight w:val="none"/>
          <w:lang w:val="en-US" w:eastAsia="zh-CN"/>
        </w:rPr>
        <w:t>24万元</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依据上述收支情况，20</w:t>
      </w:r>
      <w:r>
        <w:rPr>
          <w:rFonts w:hint="eastAsia" w:ascii="仿宋_GB2312" w:hAnsi="宋体" w:eastAsia="仿宋_GB2312"/>
          <w:highlight w:val="none"/>
          <w:lang w:val="en-US" w:eastAsia="zh-CN"/>
        </w:rPr>
        <w:t>23</w:t>
      </w:r>
      <w:r>
        <w:rPr>
          <w:rFonts w:hint="eastAsia" w:ascii="仿宋_GB2312" w:hAnsi="宋体" w:eastAsia="仿宋_GB2312"/>
          <w:highlight w:val="none"/>
        </w:rPr>
        <w:t>年全市一般公共预算收支执行结果：一般公共预算收入</w:t>
      </w:r>
      <w:r>
        <w:rPr>
          <w:rFonts w:hint="eastAsia" w:ascii="仿宋_GB2312" w:hAnsi="宋体" w:eastAsia="仿宋_GB2312"/>
          <w:highlight w:val="none"/>
          <w:lang w:val="en-US" w:eastAsia="zh-CN"/>
        </w:rPr>
        <w:t>240,855</w:t>
      </w:r>
      <w:r>
        <w:rPr>
          <w:rFonts w:hint="eastAsia" w:ascii="仿宋_GB2312" w:hAnsi="宋体" w:eastAsia="仿宋_GB2312"/>
          <w:highlight w:val="none"/>
        </w:rPr>
        <w:t>万元，加上上级补助收入</w:t>
      </w:r>
      <w:r>
        <w:rPr>
          <w:rFonts w:hint="eastAsia" w:ascii="仿宋_GB2312" w:hAnsi="宋体" w:eastAsia="仿宋_GB2312"/>
          <w:highlight w:val="none"/>
          <w:lang w:val="en-US" w:eastAsia="zh-CN"/>
        </w:rPr>
        <w:t>98,150</w:t>
      </w:r>
      <w:r>
        <w:rPr>
          <w:rFonts w:hint="eastAsia" w:ascii="仿宋_GB2312" w:hAnsi="宋体" w:eastAsia="仿宋_GB2312"/>
          <w:highlight w:val="none"/>
        </w:rPr>
        <w:t>万元（其中返还性收入</w:t>
      </w:r>
      <w:r>
        <w:rPr>
          <w:rFonts w:hint="eastAsia" w:ascii="仿宋_GB2312" w:hAnsi="宋体" w:eastAsia="仿宋_GB2312"/>
          <w:highlight w:val="none"/>
          <w:lang w:val="en-US" w:eastAsia="zh-CN"/>
        </w:rPr>
        <w:t>28,167</w:t>
      </w:r>
      <w:r>
        <w:rPr>
          <w:rFonts w:hint="eastAsia" w:ascii="仿宋_GB2312" w:hAnsi="宋体" w:eastAsia="仿宋_GB2312"/>
          <w:highlight w:val="none"/>
        </w:rPr>
        <w:t>万元、一般性转移支付收入</w:t>
      </w:r>
      <w:r>
        <w:rPr>
          <w:rFonts w:hint="eastAsia" w:ascii="仿宋_GB2312" w:hAnsi="宋体" w:eastAsia="仿宋_GB2312"/>
          <w:highlight w:val="none"/>
          <w:lang w:val="en-US" w:eastAsia="zh-CN"/>
        </w:rPr>
        <w:t>52,304</w:t>
      </w:r>
      <w:r>
        <w:rPr>
          <w:rFonts w:hint="eastAsia" w:ascii="仿宋_GB2312" w:hAnsi="宋体" w:eastAsia="仿宋_GB2312"/>
          <w:highlight w:val="none"/>
        </w:rPr>
        <w:t>万元、专项转移支付收入</w:t>
      </w:r>
      <w:r>
        <w:rPr>
          <w:rFonts w:hint="eastAsia" w:ascii="仿宋_GB2312" w:hAnsi="宋体" w:eastAsia="仿宋_GB2312"/>
          <w:highlight w:val="none"/>
          <w:lang w:val="en-US" w:eastAsia="zh-CN"/>
        </w:rPr>
        <w:t>17,679</w:t>
      </w:r>
      <w:r>
        <w:rPr>
          <w:rFonts w:hint="eastAsia" w:ascii="仿宋_GB2312" w:hAnsi="宋体" w:eastAsia="仿宋_GB2312"/>
          <w:highlight w:val="none"/>
        </w:rPr>
        <w:t>万元）</w:t>
      </w:r>
      <w:r>
        <w:rPr>
          <w:rFonts w:hint="eastAsia" w:ascii="仿宋_GB2312" w:hAnsi="宋体" w:eastAsia="仿宋_GB2312"/>
          <w:highlight w:val="none"/>
          <w:lang w:val="en-US" w:eastAsia="zh-CN"/>
        </w:rPr>
        <w:t>,</w:t>
      </w:r>
      <w:r>
        <w:rPr>
          <w:rFonts w:hint="eastAsia" w:ascii="仿宋_GB2312" w:hAnsi="宋体" w:eastAsia="仿宋_GB2312"/>
          <w:highlight w:val="none"/>
        </w:rPr>
        <w:t>地方政府一般债务转贷收入</w:t>
      </w:r>
      <w:r>
        <w:rPr>
          <w:rFonts w:hint="eastAsia" w:ascii="仿宋_GB2312" w:hAnsi="宋体" w:eastAsia="仿宋_GB2312"/>
          <w:highlight w:val="none"/>
          <w:lang w:val="en-US" w:eastAsia="zh-CN"/>
        </w:rPr>
        <w:t>27,213</w:t>
      </w:r>
      <w:r>
        <w:rPr>
          <w:rFonts w:hint="eastAsia" w:ascii="仿宋_GB2312" w:hAnsi="宋体" w:eastAsia="仿宋_GB2312"/>
          <w:highlight w:val="none"/>
        </w:rPr>
        <w:t>万元，调入资金</w:t>
      </w:r>
      <w:r>
        <w:rPr>
          <w:rFonts w:hint="eastAsia" w:ascii="仿宋_GB2312" w:hAnsi="宋体" w:eastAsia="仿宋_GB2312"/>
          <w:highlight w:val="none"/>
          <w:lang w:val="en-US" w:eastAsia="zh-CN"/>
        </w:rPr>
        <w:t>8,092</w:t>
      </w:r>
      <w:r>
        <w:rPr>
          <w:rFonts w:hint="eastAsia" w:ascii="仿宋_GB2312" w:hAnsi="宋体" w:eastAsia="仿宋_GB2312"/>
          <w:highlight w:val="none"/>
        </w:rPr>
        <w:t>万元</w:t>
      </w:r>
      <w:r>
        <w:rPr>
          <w:rFonts w:hint="eastAsia" w:ascii="仿宋_GB2312" w:hAnsi="宋体" w:eastAsia="仿宋_GB2312"/>
          <w:highlight w:val="none"/>
          <w:lang w:val="en-US" w:eastAsia="zh-CN"/>
        </w:rPr>
        <w:t>（从政府性基金调入5,000万元，国有资本经营预算调入100万元，从其他资金调入2,992万元）</w:t>
      </w:r>
      <w:r>
        <w:rPr>
          <w:rFonts w:hint="eastAsia" w:ascii="仿宋_GB2312" w:hAnsi="宋体" w:eastAsia="仿宋_GB2312"/>
          <w:highlight w:val="none"/>
        </w:rPr>
        <w:t>和上年结余</w:t>
      </w:r>
      <w:r>
        <w:rPr>
          <w:rFonts w:hint="eastAsia" w:ascii="仿宋_GB2312" w:hAnsi="宋体" w:eastAsia="仿宋_GB2312"/>
          <w:highlight w:val="none"/>
          <w:lang w:val="en-US" w:eastAsia="zh-CN"/>
        </w:rPr>
        <w:t>2,246</w:t>
      </w:r>
      <w:r>
        <w:rPr>
          <w:rFonts w:hint="eastAsia" w:ascii="仿宋_GB2312" w:hAnsi="宋体" w:eastAsia="仿宋_GB2312"/>
          <w:highlight w:val="none"/>
        </w:rPr>
        <w:t>万元，动用预算稳定调节基金</w:t>
      </w:r>
      <w:r>
        <w:rPr>
          <w:rFonts w:hint="eastAsia" w:ascii="仿宋_GB2312" w:hAnsi="宋体" w:eastAsia="仿宋_GB2312"/>
          <w:highlight w:val="none"/>
          <w:lang w:val="en-US" w:eastAsia="zh-CN"/>
        </w:rPr>
        <w:t>3,411</w:t>
      </w:r>
      <w:r>
        <w:rPr>
          <w:rFonts w:hint="eastAsia" w:ascii="仿宋_GB2312" w:hAnsi="宋体" w:eastAsia="仿宋_GB2312"/>
          <w:highlight w:val="none"/>
        </w:rPr>
        <w:t>万元，总收入为</w:t>
      </w:r>
      <w:r>
        <w:rPr>
          <w:rFonts w:hint="eastAsia" w:ascii="仿宋_GB2312" w:hAnsi="宋体" w:eastAsia="仿宋_GB2312"/>
          <w:highlight w:val="none"/>
          <w:lang w:val="en-US" w:eastAsia="zh-CN"/>
        </w:rPr>
        <w:t>379,967</w:t>
      </w:r>
      <w:r>
        <w:rPr>
          <w:rFonts w:hint="eastAsia" w:ascii="仿宋_GB2312" w:hAnsi="宋体" w:eastAsia="仿宋_GB2312"/>
          <w:highlight w:val="none"/>
        </w:rPr>
        <w:t>万元。一般公共预算支出</w:t>
      </w:r>
      <w:r>
        <w:rPr>
          <w:rFonts w:hint="eastAsia" w:ascii="仿宋_GB2312" w:hAnsi="宋体" w:eastAsia="仿宋_GB2312"/>
          <w:highlight w:val="none"/>
          <w:lang w:val="en-US" w:eastAsia="zh-CN"/>
        </w:rPr>
        <w:t>357,592</w:t>
      </w:r>
      <w:r>
        <w:rPr>
          <w:rFonts w:hint="eastAsia" w:ascii="仿宋_GB2312" w:hAnsi="宋体" w:eastAsia="仿宋_GB2312"/>
          <w:highlight w:val="none"/>
        </w:rPr>
        <w:t>万元，加上结算上解支出</w:t>
      </w:r>
      <w:r>
        <w:rPr>
          <w:rFonts w:hint="eastAsia" w:ascii="仿宋_GB2312" w:hAnsi="宋体" w:eastAsia="仿宋_GB2312"/>
          <w:highlight w:val="none"/>
          <w:lang w:val="en-US" w:eastAsia="zh-CN"/>
        </w:rPr>
        <w:t>4,200</w:t>
      </w:r>
      <w:r>
        <w:rPr>
          <w:rFonts w:hint="eastAsia" w:ascii="仿宋_GB2312" w:hAnsi="宋体" w:eastAsia="仿宋_GB2312"/>
          <w:highlight w:val="none"/>
        </w:rPr>
        <w:t>万元，地方政府一般债务还本支出</w:t>
      </w:r>
      <w:r>
        <w:rPr>
          <w:rFonts w:hint="eastAsia" w:ascii="仿宋_GB2312" w:hAnsi="宋体" w:eastAsia="仿宋_GB2312"/>
          <w:highlight w:val="none"/>
          <w:lang w:val="en-US" w:eastAsia="zh-CN"/>
        </w:rPr>
        <w:t>13,376</w:t>
      </w:r>
      <w:r>
        <w:rPr>
          <w:rFonts w:hint="eastAsia" w:ascii="仿宋_GB2312" w:hAnsi="宋体" w:eastAsia="仿宋_GB2312"/>
          <w:highlight w:val="none"/>
        </w:rPr>
        <w:t>万元，</w:t>
      </w:r>
      <w:r>
        <w:rPr>
          <w:rFonts w:hint="eastAsia" w:ascii="仿宋_GB2312" w:hAnsi="宋体" w:eastAsia="仿宋_GB2312"/>
          <w:highlight w:val="none"/>
          <w:lang w:eastAsia="zh-CN"/>
        </w:rPr>
        <w:t>安排预算稳定调节基金</w:t>
      </w:r>
      <w:r>
        <w:rPr>
          <w:rFonts w:hint="eastAsia" w:ascii="仿宋_GB2312" w:hAnsi="宋体" w:eastAsia="仿宋_GB2312"/>
          <w:highlight w:val="none"/>
          <w:lang w:val="en-US" w:eastAsia="zh-CN"/>
        </w:rPr>
        <w:t>2,673万元，</w:t>
      </w:r>
      <w:r>
        <w:rPr>
          <w:rFonts w:hint="eastAsia" w:ascii="仿宋_GB2312" w:hAnsi="宋体" w:eastAsia="仿宋_GB2312"/>
          <w:highlight w:val="none"/>
        </w:rPr>
        <w:t>总支出为</w:t>
      </w:r>
      <w:r>
        <w:rPr>
          <w:rFonts w:hint="eastAsia" w:ascii="仿宋_GB2312" w:hAnsi="宋体" w:eastAsia="仿宋_GB2312"/>
          <w:highlight w:val="none"/>
          <w:lang w:val="en-US" w:eastAsia="zh-CN"/>
        </w:rPr>
        <w:t>377,841</w:t>
      </w:r>
      <w:r>
        <w:rPr>
          <w:rFonts w:hint="eastAsia" w:ascii="仿宋_GB2312" w:hAnsi="宋体" w:eastAsia="仿宋_GB2312"/>
          <w:highlight w:val="none"/>
        </w:rPr>
        <w:t>万元。收支相抵，年终结余</w:t>
      </w:r>
      <w:r>
        <w:rPr>
          <w:rFonts w:hint="eastAsia" w:ascii="仿宋_GB2312" w:hAnsi="宋体" w:eastAsia="仿宋_GB2312"/>
          <w:highlight w:val="none"/>
          <w:lang w:val="en-US" w:eastAsia="zh-CN"/>
        </w:rPr>
        <w:t>2,126</w:t>
      </w:r>
      <w:r>
        <w:rPr>
          <w:rFonts w:hint="eastAsia" w:ascii="仿宋_GB2312" w:hAnsi="宋体" w:eastAsia="仿宋_GB2312"/>
          <w:highlight w:val="none"/>
        </w:rPr>
        <w:t>万元，当年实现了收支平衡。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highlight w:val="none"/>
        </w:rPr>
      </w:pPr>
      <w:r>
        <w:rPr>
          <w:rFonts w:hint="eastAsia" w:ascii="楷体_GB2312" w:hAnsi="宋体" w:eastAsia="楷体_GB2312"/>
          <w:b/>
          <w:highlight w:val="none"/>
        </w:rPr>
        <w:t>（二）政府性基金预算执行情况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b/>
          <w:highlight w:val="yellow"/>
        </w:rPr>
      </w:pPr>
      <w:r>
        <w:rPr>
          <w:rFonts w:hint="eastAsia" w:ascii="仿宋_GB2312" w:hAnsi="宋体" w:eastAsia="仿宋_GB2312"/>
          <w:b/>
          <w:highlight w:val="none"/>
        </w:rPr>
        <w:t>1.政府性基金收入执行情况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rPr>
        <w:t>20</w:t>
      </w:r>
      <w:r>
        <w:rPr>
          <w:rFonts w:hint="eastAsia" w:ascii="仿宋_GB2312" w:hAnsi="宋体" w:eastAsia="仿宋_GB2312"/>
          <w:highlight w:val="none"/>
          <w:lang w:val="en-US" w:eastAsia="zh-CN"/>
        </w:rPr>
        <w:t>23</w:t>
      </w:r>
      <w:r>
        <w:rPr>
          <w:rFonts w:hint="eastAsia" w:ascii="仿宋_GB2312" w:hAnsi="宋体" w:eastAsia="仿宋_GB2312"/>
          <w:highlight w:val="none"/>
        </w:rPr>
        <w:t>年全市政府性基金收入执行数</w:t>
      </w:r>
      <w:r>
        <w:rPr>
          <w:rFonts w:hint="eastAsia" w:ascii="仿宋_GB2312" w:hAnsi="宋体" w:eastAsia="仿宋_GB2312"/>
          <w:highlight w:val="none"/>
          <w:lang w:val="en-US" w:eastAsia="zh-CN"/>
        </w:rPr>
        <w:t>102,447</w:t>
      </w:r>
      <w:r>
        <w:rPr>
          <w:rFonts w:hint="eastAsia" w:ascii="仿宋_GB2312" w:hAnsi="宋体" w:eastAsia="仿宋_GB2312"/>
          <w:highlight w:val="none"/>
        </w:rPr>
        <w:t>万元，比上年决算数</w:t>
      </w:r>
      <w:r>
        <w:rPr>
          <w:rFonts w:hint="eastAsia" w:ascii="仿宋_GB2312" w:hAnsi="宋体" w:eastAsia="仿宋_GB2312"/>
          <w:highlight w:val="none"/>
          <w:lang w:eastAsia="zh-CN"/>
        </w:rPr>
        <w:t>减少</w:t>
      </w:r>
      <w:r>
        <w:rPr>
          <w:rFonts w:hint="eastAsia" w:ascii="仿宋_GB2312" w:hAnsi="宋体" w:eastAsia="仿宋_GB2312"/>
          <w:highlight w:val="none"/>
          <w:lang w:val="en-US" w:eastAsia="zh-CN"/>
        </w:rPr>
        <w:t>58,651</w:t>
      </w:r>
      <w:r>
        <w:rPr>
          <w:rFonts w:hint="eastAsia" w:ascii="仿宋_GB2312" w:hAnsi="宋体" w:eastAsia="仿宋_GB2312"/>
          <w:highlight w:val="none"/>
        </w:rPr>
        <w:t>万元，同比</w:t>
      </w:r>
      <w:r>
        <w:rPr>
          <w:rFonts w:hint="eastAsia" w:ascii="仿宋_GB2312" w:hAnsi="宋体" w:eastAsia="仿宋_GB2312"/>
          <w:highlight w:val="none"/>
          <w:lang w:eastAsia="zh-CN"/>
        </w:rPr>
        <w:t>下降</w:t>
      </w:r>
      <w:r>
        <w:rPr>
          <w:rFonts w:hint="eastAsia" w:ascii="仿宋_GB2312" w:hAnsi="宋体" w:eastAsia="仿宋_GB2312"/>
          <w:highlight w:val="none"/>
          <w:lang w:val="en-US" w:eastAsia="zh-CN"/>
        </w:rPr>
        <w:t>36.41%，主要是国有土地出让收入减少53,355万元</w:t>
      </w:r>
      <w:r>
        <w:rPr>
          <w:rFonts w:hint="eastAsia" w:ascii="仿宋_GB2312" w:hAnsi="宋体" w:eastAsia="仿宋_GB2312"/>
          <w:spacing w:val="-6"/>
          <w:sz w:val="32"/>
          <w:highlight w:val="none"/>
        </w:rPr>
        <w:t>。主要收入项目执行情况是：国有土地使用权出让收入</w:t>
      </w:r>
      <w:r>
        <w:rPr>
          <w:rFonts w:hint="eastAsia" w:ascii="仿宋_GB2312" w:hAnsi="宋体" w:eastAsia="仿宋_GB2312"/>
          <w:spacing w:val="-6"/>
          <w:sz w:val="32"/>
          <w:highlight w:val="none"/>
          <w:lang w:val="en-US" w:eastAsia="zh-CN"/>
        </w:rPr>
        <w:t>90,580</w:t>
      </w:r>
      <w:r>
        <w:rPr>
          <w:rFonts w:hint="eastAsia" w:ascii="仿宋_GB2312" w:hAnsi="宋体" w:eastAsia="仿宋_GB2312"/>
          <w:spacing w:val="-6"/>
          <w:sz w:val="32"/>
          <w:highlight w:val="none"/>
        </w:rPr>
        <w:t>万元；彩票公益金收入</w:t>
      </w:r>
      <w:r>
        <w:rPr>
          <w:rFonts w:hint="eastAsia" w:ascii="仿宋_GB2312" w:hAnsi="宋体" w:eastAsia="仿宋_GB2312"/>
          <w:spacing w:val="-6"/>
          <w:sz w:val="32"/>
          <w:highlight w:val="none"/>
          <w:lang w:val="en-US" w:eastAsia="zh-CN"/>
        </w:rPr>
        <w:t>221</w:t>
      </w:r>
      <w:r>
        <w:rPr>
          <w:rFonts w:hint="eastAsia" w:ascii="仿宋_GB2312" w:hAnsi="宋体" w:eastAsia="仿宋_GB2312"/>
          <w:spacing w:val="-6"/>
          <w:sz w:val="32"/>
          <w:highlight w:val="none"/>
        </w:rPr>
        <w:t>万元</w:t>
      </w:r>
      <w:r>
        <w:rPr>
          <w:rFonts w:hint="eastAsia" w:ascii="仿宋_GB2312" w:hAnsi="宋体" w:eastAsia="仿宋_GB2312"/>
          <w:spacing w:val="-6"/>
          <w:sz w:val="32"/>
          <w:highlight w:val="none"/>
          <w:lang w:eastAsia="zh-CN"/>
        </w:rPr>
        <w:t>；城市基础设施配套费收入</w:t>
      </w:r>
      <w:r>
        <w:rPr>
          <w:rFonts w:hint="eastAsia" w:ascii="仿宋_GB2312" w:hAnsi="宋体" w:eastAsia="仿宋_GB2312"/>
          <w:spacing w:val="-6"/>
          <w:sz w:val="32"/>
          <w:highlight w:val="none"/>
          <w:lang w:val="en-US" w:eastAsia="zh-CN"/>
        </w:rPr>
        <w:t>684万元；污水处理费收入767万元；专项债券利息收入10,195万元</w:t>
      </w:r>
      <w:r>
        <w:rPr>
          <w:rFonts w:hint="eastAsia" w:ascii="仿宋_GB2312" w:hAnsi="宋体" w:eastAsia="仿宋_GB2312"/>
          <w:spacing w:val="-6"/>
          <w:sz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b/>
          <w:highlight w:val="none"/>
        </w:rPr>
      </w:pPr>
      <w:r>
        <w:rPr>
          <w:rFonts w:hint="eastAsia" w:ascii="仿宋_GB2312" w:hAnsi="宋体" w:eastAsia="仿宋_GB2312"/>
          <w:b/>
          <w:highlight w:val="none"/>
        </w:rPr>
        <w:t>2.政府性基金支出执行情况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0000FF"/>
          <w:highlight w:val="none"/>
          <w:lang w:val="en-US" w:eastAsia="zh-CN"/>
        </w:rPr>
      </w:pPr>
      <w:r>
        <w:rPr>
          <w:rFonts w:hint="eastAsia" w:ascii="仿宋_GB2312" w:hAnsi="宋体" w:eastAsia="仿宋_GB2312"/>
          <w:highlight w:val="none"/>
        </w:rPr>
        <w:t>20</w:t>
      </w:r>
      <w:r>
        <w:rPr>
          <w:rFonts w:hint="eastAsia" w:ascii="仿宋_GB2312" w:hAnsi="宋体" w:eastAsia="仿宋_GB2312"/>
          <w:highlight w:val="none"/>
          <w:lang w:val="en-US" w:eastAsia="zh-CN"/>
        </w:rPr>
        <w:t>23</w:t>
      </w:r>
      <w:r>
        <w:rPr>
          <w:rFonts w:hint="eastAsia" w:ascii="仿宋_GB2312" w:hAnsi="宋体" w:eastAsia="仿宋_GB2312"/>
          <w:highlight w:val="none"/>
        </w:rPr>
        <w:t>年全市政府性基金预算支出</w:t>
      </w:r>
      <w:r>
        <w:rPr>
          <w:rFonts w:hint="eastAsia" w:ascii="仿宋_GB2312" w:hAnsi="宋体" w:eastAsia="仿宋_GB2312"/>
          <w:highlight w:val="none"/>
          <w:lang w:val="en-US" w:eastAsia="zh-CN"/>
        </w:rPr>
        <w:t>198,716</w:t>
      </w:r>
      <w:r>
        <w:rPr>
          <w:rFonts w:hint="eastAsia" w:ascii="仿宋_GB2312" w:hAnsi="宋体" w:eastAsia="仿宋_GB2312"/>
          <w:highlight w:val="none"/>
        </w:rPr>
        <w:t>万元，比上年决算数</w:t>
      </w:r>
      <w:r>
        <w:rPr>
          <w:rFonts w:hint="eastAsia" w:ascii="仿宋_GB2312" w:hAnsi="宋体" w:eastAsia="仿宋_GB2312"/>
          <w:highlight w:val="none"/>
          <w:lang w:eastAsia="zh-CN"/>
        </w:rPr>
        <w:t>减少</w:t>
      </w:r>
      <w:r>
        <w:rPr>
          <w:rFonts w:hint="eastAsia" w:ascii="仿宋_GB2312" w:hAnsi="宋体" w:eastAsia="仿宋_GB2312"/>
          <w:highlight w:val="none"/>
          <w:lang w:val="en-US" w:eastAsia="zh-CN"/>
        </w:rPr>
        <w:t>30,885</w:t>
      </w:r>
      <w:r>
        <w:rPr>
          <w:rFonts w:hint="eastAsia" w:ascii="仿宋_GB2312" w:hAnsi="宋体" w:eastAsia="仿宋_GB2312"/>
          <w:highlight w:val="none"/>
        </w:rPr>
        <w:t>万元，同比</w:t>
      </w:r>
      <w:r>
        <w:rPr>
          <w:rFonts w:hint="eastAsia" w:ascii="仿宋_GB2312" w:hAnsi="宋体" w:eastAsia="仿宋_GB2312"/>
          <w:highlight w:val="none"/>
          <w:lang w:eastAsia="zh-CN"/>
        </w:rPr>
        <w:t>下降</w:t>
      </w:r>
      <w:r>
        <w:rPr>
          <w:rFonts w:hint="eastAsia" w:ascii="仿宋_GB2312" w:hAnsi="宋体" w:eastAsia="仿宋_GB2312"/>
          <w:highlight w:val="none"/>
          <w:lang w:val="en-US" w:eastAsia="zh-CN"/>
        </w:rPr>
        <w:t>13.45%，主要是城乡社区支出减少49,426万元</w:t>
      </w:r>
      <w:r>
        <w:rPr>
          <w:rFonts w:hint="eastAsia" w:ascii="仿宋_GB2312" w:hAnsi="宋体" w:eastAsia="仿宋_GB2312"/>
          <w:highlight w:val="none"/>
        </w:rPr>
        <w:t>。其中：文化旅游体育与</w:t>
      </w:r>
      <w:r>
        <w:rPr>
          <w:rFonts w:hint="eastAsia" w:ascii="仿宋_GB2312" w:hAnsi="宋体" w:eastAsia="仿宋_GB2312"/>
          <w:color w:val="auto"/>
          <w:highlight w:val="none"/>
        </w:rPr>
        <w:t>传媒支出</w:t>
      </w:r>
      <w:r>
        <w:rPr>
          <w:rFonts w:hint="eastAsia" w:ascii="仿宋_GB2312" w:hAnsi="宋体" w:eastAsia="仿宋_GB2312"/>
          <w:color w:val="auto"/>
          <w:highlight w:val="none"/>
          <w:lang w:val="en-US" w:eastAsia="zh-CN"/>
        </w:rPr>
        <w:t>7</w:t>
      </w:r>
      <w:r>
        <w:rPr>
          <w:rFonts w:hint="eastAsia" w:ascii="仿宋_GB2312" w:hAnsi="宋体" w:eastAsia="仿宋_GB2312"/>
          <w:color w:val="auto"/>
          <w:highlight w:val="none"/>
        </w:rPr>
        <w:t>万元；社会保障和就业支出</w:t>
      </w:r>
      <w:r>
        <w:rPr>
          <w:rFonts w:hint="eastAsia" w:ascii="仿宋_GB2312" w:hAnsi="宋体" w:eastAsia="仿宋_GB2312"/>
          <w:color w:val="auto"/>
          <w:highlight w:val="none"/>
          <w:lang w:val="en-US" w:eastAsia="zh-CN"/>
        </w:rPr>
        <w:t>681</w:t>
      </w:r>
      <w:r>
        <w:rPr>
          <w:rFonts w:hint="eastAsia" w:ascii="仿宋_GB2312" w:hAnsi="宋体" w:eastAsia="仿宋_GB2312"/>
          <w:color w:val="auto"/>
          <w:highlight w:val="none"/>
        </w:rPr>
        <w:t>万元；城乡社区支出</w:t>
      </w:r>
      <w:r>
        <w:rPr>
          <w:rFonts w:hint="eastAsia" w:ascii="仿宋_GB2312" w:hAnsi="宋体" w:eastAsia="仿宋_GB2312"/>
          <w:color w:val="auto"/>
          <w:highlight w:val="none"/>
          <w:lang w:val="en-US" w:eastAsia="zh-CN"/>
        </w:rPr>
        <w:t>90,649</w:t>
      </w:r>
      <w:r>
        <w:rPr>
          <w:rFonts w:hint="eastAsia" w:ascii="仿宋_GB2312" w:hAnsi="宋体" w:eastAsia="仿宋_GB2312"/>
          <w:color w:val="auto"/>
          <w:highlight w:val="none"/>
        </w:rPr>
        <w:t>万元</w:t>
      </w:r>
      <w:r>
        <w:rPr>
          <w:rFonts w:hint="eastAsia" w:ascii="仿宋_GB2312" w:hAnsi="宋体" w:eastAsia="仿宋_GB2312"/>
          <w:color w:val="auto"/>
          <w:highlight w:val="none"/>
          <w:lang w:val="en-US" w:eastAsia="zh-CN"/>
        </w:rPr>
        <w:t>;</w:t>
      </w:r>
      <w:r>
        <w:rPr>
          <w:rFonts w:hint="eastAsia" w:ascii="仿宋_GB2312" w:hAnsi="宋体" w:eastAsia="仿宋_GB2312"/>
          <w:color w:val="auto"/>
          <w:highlight w:val="none"/>
        </w:rPr>
        <w:t>农林水支出</w:t>
      </w:r>
      <w:r>
        <w:rPr>
          <w:rFonts w:hint="eastAsia" w:ascii="仿宋_GB2312" w:hAnsi="宋体" w:eastAsia="仿宋_GB2312"/>
          <w:color w:val="auto"/>
          <w:highlight w:val="none"/>
          <w:lang w:val="en-US" w:eastAsia="zh-CN"/>
        </w:rPr>
        <w:t>29</w:t>
      </w:r>
      <w:r>
        <w:rPr>
          <w:rFonts w:hint="eastAsia" w:ascii="仿宋_GB2312" w:hAnsi="宋体" w:eastAsia="仿宋_GB2312"/>
          <w:color w:val="auto"/>
          <w:highlight w:val="none"/>
        </w:rPr>
        <w:t>万元；</w:t>
      </w:r>
      <w:r>
        <w:rPr>
          <w:rFonts w:hint="eastAsia" w:ascii="仿宋_GB2312" w:hAnsi="宋体" w:eastAsia="仿宋_GB2312"/>
          <w:color w:val="auto"/>
          <w:highlight w:val="none"/>
          <w:lang w:eastAsia="zh-CN"/>
        </w:rPr>
        <w:t>交通运输支出</w:t>
      </w:r>
      <w:r>
        <w:rPr>
          <w:rFonts w:hint="eastAsia" w:ascii="仿宋_GB2312" w:hAnsi="宋体" w:eastAsia="仿宋_GB2312"/>
          <w:color w:val="auto"/>
          <w:highlight w:val="none"/>
          <w:lang w:val="en-US" w:eastAsia="zh-CN"/>
        </w:rPr>
        <w:t>53万元；</w:t>
      </w:r>
      <w:r>
        <w:rPr>
          <w:rFonts w:hint="eastAsia" w:ascii="仿宋_GB2312" w:hAnsi="宋体" w:eastAsia="仿宋_GB2312"/>
          <w:color w:val="auto"/>
          <w:highlight w:val="none"/>
        </w:rPr>
        <w:t>其他支出</w:t>
      </w:r>
      <w:r>
        <w:rPr>
          <w:rFonts w:hint="eastAsia" w:ascii="仿宋_GB2312" w:hAnsi="宋体" w:eastAsia="仿宋_GB2312"/>
          <w:color w:val="auto"/>
          <w:highlight w:val="none"/>
          <w:lang w:val="en-US" w:eastAsia="zh-CN"/>
        </w:rPr>
        <w:t>91,966</w:t>
      </w:r>
      <w:r>
        <w:rPr>
          <w:rFonts w:hint="eastAsia" w:ascii="仿宋_GB2312" w:hAnsi="宋体" w:eastAsia="仿宋_GB2312"/>
          <w:color w:val="auto"/>
          <w:highlight w:val="none"/>
        </w:rPr>
        <w:t>万元；债务付息支出</w:t>
      </w:r>
      <w:r>
        <w:rPr>
          <w:rFonts w:hint="eastAsia" w:ascii="仿宋_GB2312" w:hAnsi="宋体" w:eastAsia="仿宋_GB2312"/>
          <w:color w:val="auto"/>
          <w:highlight w:val="none"/>
          <w:lang w:val="en-US" w:eastAsia="zh-CN"/>
        </w:rPr>
        <w:t>15,220</w:t>
      </w:r>
      <w:r>
        <w:rPr>
          <w:rFonts w:hint="eastAsia" w:ascii="仿宋_GB2312" w:hAnsi="宋体" w:eastAsia="仿宋_GB2312"/>
          <w:color w:val="auto"/>
          <w:highlight w:val="none"/>
        </w:rPr>
        <w:t>万元</w:t>
      </w:r>
      <w:r>
        <w:rPr>
          <w:rFonts w:hint="eastAsia" w:ascii="仿宋_GB2312" w:hAnsi="宋体" w:eastAsia="仿宋_GB2312"/>
          <w:color w:val="auto"/>
          <w:highlight w:val="none"/>
          <w:lang w:eastAsia="zh-CN"/>
        </w:rPr>
        <w:t>；债务发行费用支出</w:t>
      </w:r>
      <w:r>
        <w:rPr>
          <w:rFonts w:hint="eastAsia" w:ascii="仿宋_GB2312" w:hAnsi="宋体" w:eastAsia="仿宋_GB2312"/>
          <w:color w:val="auto"/>
          <w:highlight w:val="none"/>
          <w:lang w:val="en-US" w:eastAsia="zh-CN"/>
        </w:rPr>
        <w:t>111万元</w:t>
      </w:r>
      <w:r>
        <w:rPr>
          <w:rFonts w:hint="eastAsia" w:ascii="仿宋_GB2312" w:hAnsi="宋体" w:eastAsia="仿宋_GB2312"/>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依据上述收支情况，20</w:t>
      </w:r>
      <w:r>
        <w:rPr>
          <w:rFonts w:hint="eastAsia" w:ascii="仿宋_GB2312" w:hAnsi="宋体" w:eastAsia="仿宋_GB2312"/>
          <w:color w:val="000000" w:themeColor="text1"/>
          <w:highlight w:val="none"/>
          <w:lang w:val="en-US" w:eastAsia="zh-CN"/>
          <w14:textFill>
            <w14:solidFill>
              <w14:schemeClr w14:val="tx1"/>
            </w14:solidFill>
          </w14:textFill>
        </w:rPr>
        <w:t>23</w:t>
      </w:r>
      <w:r>
        <w:rPr>
          <w:rFonts w:hint="eastAsia" w:ascii="仿宋_GB2312" w:hAnsi="宋体" w:eastAsia="仿宋_GB2312"/>
          <w:color w:val="000000" w:themeColor="text1"/>
          <w:highlight w:val="none"/>
          <w14:textFill>
            <w14:solidFill>
              <w14:schemeClr w14:val="tx1"/>
            </w14:solidFill>
          </w14:textFill>
        </w:rPr>
        <w:t>年全市政府性基金收支执行结果：政府性基金预算收入</w:t>
      </w:r>
      <w:r>
        <w:rPr>
          <w:rFonts w:hint="eastAsia" w:ascii="仿宋_GB2312" w:hAnsi="宋体" w:eastAsia="仿宋_GB2312"/>
          <w:color w:val="000000" w:themeColor="text1"/>
          <w:highlight w:val="none"/>
          <w:lang w:val="en-US" w:eastAsia="zh-CN"/>
          <w14:textFill>
            <w14:solidFill>
              <w14:schemeClr w14:val="tx1"/>
            </w14:solidFill>
          </w14:textFill>
        </w:rPr>
        <w:t>102,447</w:t>
      </w:r>
      <w:r>
        <w:rPr>
          <w:rFonts w:hint="eastAsia" w:ascii="仿宋_GB2312" w:hAnsi="宋体" w:eastAsia="仿宋_GB2312"/>
          <w:color w:val="000000" w:themeColor="text1"/>
          <w:highlight w:val="none"/>
          <w14:textFill>
            <w14:solidFill>
              <w14:schemeClr w14:val="tx1"/>
            </w14:solidFill>
          </w14:textFill>
        </w:rPr>
        <w:t>万元，加上上级补助收入</w:t>
      </w:r>
      <w:r>
        <w:rPr>
          <w:rFonts w:hint="eastAsia" w:ascii="仿宋_GB2312" w:hAnsi="宋体" w:eastAsia="仿宋_GB2312"/>
          <w:color w:val="000000" w:themeColor="text1"/>
          <w:highlight w:val="none"/>
          <w:lang w:val="en-US" w:eastAsia="zh-CN"/>
          <w14:textFill>
            <w14:solidFill>
              <w14:schemeClr w14:val="tx1"/>
            </w14:solidFill>
          </w14:textFill>
        </w:rPr>
        <w:t>4,628</w:t>
      </w:r>
      <w:r>
        <w:rPr>
          <w:rFonts w:hint="eastAsia" w:ascii="仿宋_GB2312" w:hAnsi="宋体" w:eastAsia="仿宋_GB2312"/>
          <w:color w:val="000000" w:themeColor="text1"/>
          <w:highlight w:val="none"/>
          <w14:textFill>
            <w14:solidFill>
              <w14:schemeClr w14:val="tx1"/>
            </w14:solidFill>
          </w14:textFill>
        </w:rPr>
        <w:t>万元</w:t>
      </w:r>
      <w:r>
        <w:rPr>
          <w:rFonts w:hint="eastAsia" w:ascii="仿宋_GB2312" w:hAnsi="宋体" w:eastAsia="仿宋_GB2312"/>
          <w:color w:val="000000" w:themeColor="text1"/>
          <w:highlight w:val="none"/>
          <w:lang w:val="en-US" w:eastAsia="zh-CN"/>
          <w14:textFill>
            <w14:solidFill>
              <w14:schemeClr w14:val="tx1"/>
            </w14:solidFill>
          </w14:textFill>
        </w:rPr>
        <w:t>，</w:t>
      </w:r>
      <w:r>
        <w:rPr>
          <w:rFonts w:hint="eastAsia" w:ascii="仿宋_GB2312" w:hAnsi="宋体" w:eastAsia="仿宋_GB2312"/>
          <w:color w:val="000000" w:themeColor="text1"/>
          <w:highlight w:val="none"/>
          <w14:textFill>
            <w14:solidFill>
              <w14:schemeClr w14:val="tx1"/>
            </w14:solidFill>
          </w14:textFill>
        </w:rPr>
        <w:t>地方政府专项债务转贷</w:t>
      </w:r>
      <w:r>
        <w:rPr>
          <w:rFonts w:hint="eastAsia" w:ascii="仿宋_GB2312" w:hAnsi="宋体" w:eastAsia="仿宋_GB2312"/>
          <w:color w:val="000000" w:themeColor="text1"/>
          <w:highlight w:val="none"/>
          <w:lang w:eastAsia="zh-CN"/>
          <w14:textFill>
            <w14:solidFill>
              <w14:schemeClr w14:val="tx1"/>
            </w14:solidFill>
          </w14:textFill>
        </w:rPr>
        <w:t>收入</w:t>
      </w:r>
      <w:r>
        <w:rPr>
          <w:rFonts w:hint="eastAsia" w:ascii="仿宋_GB2312" w:hAnsi="宋体" w:eastAsia="仿宋_GB2312"/>
          <w:color w:val="000000" w:themeColor="text1"/>
          <w:highlight w:val="none"/>
          <w:lang w:val="en-US" w:eastAsia="zh-CN"/>
          <w14:textFill>
            <w14:solidFill>
              <w14:schemeClr w14:val="tx1"/>
            </w14:solidFill>
          </w14:textFill>
        </w:rPr>
        <w:t>131,654</w:t>
      </w:r>
      <w:r>
        <w:rPr>
          <w:rFonts w:hint="eastAsia" w:ascii="仿宋_GB2312" w:hAnsi="宋体" w:eastAsia="仿宋_GB2312"/>
          <w:color w:val="000000" w:themeColor="text1"/>
          <w:highlight w:val="none"/>
          <w14:textFill>
            <w14:solidFill>
              <w14:schemeClr w14:val="tx1"/>
            </w14:solidFill>
          </w14:textFill>
        </w:rPr>
        <w:t>万元和上年结余</w:t>
      </w:r>
      <w:r>
        <w:rPr>
          <w:rFonts w:hint="eastAsia" w:ascii="仿宋_GB2312" w:hAnsi="宋体" w:eastAsia="仿宋_GB2312"/>
          <w:color w:val="000000" w:themeColor="text1"/>
          <w:highlight w:val="none"/>
          <w:lang w:val="en-US" w:eastAsia="zh-CN"/>
          <w14:textFill>
            <w14:solidFill>
              <w14:schemeClr w14:val="tx1"/>
            </w14:solidFill>
          </w14:textFill>
        </w:rPr>
        <w:t>29,131</w:t>
      </w:r>
      <w:r>
        <w:rPr>
          <w:rFonts w:hint="eastAsia" w:ascii="仿宋_GB2312" w:hAnsi="宋体" w:eastAsia="仿宋_GB2312"/>
          <w:color w:val="000000" w:themeColor="text1"/>
          <w:highlight w:val="none"/>
          <w14:textFill>
            <w14:solidFill>
              <w14:schemeClr w14:val="tx1"/>
            </w14:solidFill>
          </w14:textFill>
        </w:rPr>
        <w:t>万元，总收入为</w:t>
      </w:r>
      <w:r>
        <w:rPr>
          <w:rFonts w:hint="eastAsia" w:ascii="仿宋_GB2312" w:hAnsi="宋体" w:eastAsia="仿宋_GB2312"/>
          <w:color w:val="000000" w:themeColor="text1"/>
          <w:highlight w:val="none"/>
          <w:lang w:val="en-US" w:eastAsia="zh-CN"/>
          <w14:textFill>
            <w14:solidFill>
              <w14:schemeClr w14:val="tx1"/>
            </w14:solidFill>
          </w14:textFill>
        </w:rPr>
        <w:t>267,860</w:t>
      </w:r>
      <w:r>
        <w:rPr>
          <w:rFonts w:hint="eastAsia" w:ascii="仿宋_GB2312" w:hAnsi="宋体" w:eastAsia="仿宋_GB2312"/>
          <w:color w:val="000000" w:themeColor="text1"/>
          <w:highlight w:val="none"/>
          <w14:textFill>
            <w14:solidFill>
              <w14:schemeClr w14:val="tx1"/>
            </w14:solidFill>
          </w14:textFill>
        </w:rPr>
        <w:t>万元。20</w:t>
      </w:r>
      <w:r>
        <w:rPr>
          <w:rFonts w:hint="eastAsia" w:ascii="仿宋_GB2312" w:hAnsi="宋体" w:eastAsia="仿宋_GB2312"/>
          <w:color w:val="000000" w:themeColor="text1"/>
          <w:highlight w:val="none"/>
          <w:lang w:val="en-US" w:eastAsia="zh-CN"/>
          <w14:textFill>
            <w14:solidFill>
              <w14:schemeClr w14:val="tx1"/>
            </w14:solidFill>
          </w14:textFill>
        </w:rPr>
        <w:t>23</w:t>
      </w:r>
      <w:r>
        <w:rPr>
          <w:rFonts w:hint="eastAsia" w:ascii="仿宋_GB2312" w:hAnsi="宋体" w:eastAsia="仿宋_GB2312"/>
          <w:color w:val="000000" w:themeColor="text1"/>
          <w:highlight w:val="none"/>
          <w14:textFill>
            <w14:solidFill>
              <w14:schemeClr w14:val="tx1"/>
            </w14:solidFill>
          </w14:textFill>
        </w:rPr>
        <w:t>年政府性基金支出</w:t>
      </w:r>
      <w:r>
        <w:rPr>
          <w:rFonts w:hint="eastAsia" w:ascii="仿宋_GB2312" w:hAnsi="宋体" w:eastAsia="仿宋_GB2312"/>
          <w:color w:val="000000" w:themeColor="text1"/>
          <w:highlight w:val="none"/>
          <w:lang w:val="en-US" w:eastAsia="zh-CN"/>
          <w14:textFill>
            <w14:solidFill>
              <w14:schemeClr w14:val="tx1"/>
            </w14:solidFill>
          </w14:textFill>
        </w:rPr>
        <w:t>198,716</w:t>
      </w:r>
      <w:r>
        <w:rPr>
          <w:rFonts w:hint="eastAsia" w:ascii="仿宋_GB2312" w:hAnsi="宋体" w:eastAsia="仿宋_GB2312"/>
          <w:color w:val="000000" w:themeColor="text1"/>
          <w:highlight w:val="none"/>
          <w14:textFill>
            <w14:solidFill>
              <w14:schemeClr w14:val="tx1"/>
            </w14:solidFill>
          </w14:textFill>
        </w:rPr>
        <w:t>万元</w:t>
      </w:r>
      <w:r>
        <w:rPr>
          <w:rFonts w:hint="eastAsia" w:ascii="仿宋_GB2312" w:hAnsi="宋体" w:eastAsia="仿宋_GB2312"/>
          <w:color w:val="000000" w:themeColor="text1"/>
          <w:highlight w:val="none"/>
          <w:lang w:eastAsia="zh-CN"/>
          <w14:textFill>
            <w14:solidFill>
              <w14:schemeClr w14:val="tx1"/>
            </w14:solidFill>
          </w14:textFill>
        </w:rPr>
        <w:t>，专项债还本支出</w:t>
      </w:r>
      <w:r>
        <w:rPr>
          <w:rFonts w:hint="eastAsia" w:ascii="仿宋_GB2312" w:hAnsi="宋体" w:eastAsia="仿宋_GB2312"/>
          <w:color w:val="000000" w:themeColor="text1"/>
          <w:highlight w:val="none"/>
          <w:lang w:val="en-US" w:eastAsia="zh-CN"/>
          <w14:textFill>
            <w14:solidFill>
              <w14:schemeClr w14:val="tx1"/>
            </w14:solidFill>
          </w14:textFill>
        </w:rPr>
        <w:t>26,764</w:t>
      </w:r>
      <w:r>
        <w:rPr>
          <w:rFonts w:hint="eastAsia" w:ascii="仿宋_GB2312" w:hAnsi="宋体" w:eastAsia="仿宋_GB2312"/>
          <w:color w:val="000000" w:themeColor="text1"/>
          <w:highlight w:val="none"/>
          <w14:textFill>
            <w14:solidFill>
              <w14:schemeClr w14:val="tx1"/>
            </w14:solidFill>
          </w14:textFill>
        </w:rPr>
        <w:t>万元</w:t>
      </w:r>
      <w:r>
        <w:rPr>
          <w:rFonts w:hint="eastAsia" w:ascii="仿宋_GB2312" w:hAnsi="宋体" w:eastAsia="仿宋_GB2312"/>
          <w:color w:val="000000" w:themeColor="text1"/>
          <w:highlight w:val="none"/>
          <w:lang w:eastAsia="zh-CN"/>
          <w14:textFill>
            <w14:solidFill>
              <w14:schemeClr w14:val="tx1"/>
            </w14:solidFill>
          </w14:textFill>
        </w:rPr>
        <w:t>，上解上级支出</w:t>
      </w:r>
      <w:r>
        <w:rPr>
          <w:rFonts w:hint="eastAsia" w:ascii="仿宋_GB2312" w:hAnsi="宋体" w:eastAsia="仿宋_GB2312"/>
          <w:color w:val="000000" w:themeColor="text1"/>
          <w:highlight w:val="none"/>
          <w:lang w:val="en-US" w:eastAsia="zh-CN"/>
          <w14:textFill>
            <w14:solidFill>
              <w14:schemeClr w14:val="tx1"/>
            </w14:solidFill>
          </w14:textFill>
        </w:rPr>
        <w:t>1,850万元，</w:t>
      </w:r>
      <w:r>
        <w:rPr>
          <w:rFonts w:hint="eastAsia" w:ascii="仿宋_GB2312" w:hAnsi="宋体" w:eastAsia="仿宋_GB2312"/>
          <w:highlight w:val="none"/>
        </w:rPr>
        <w:t>调出资金</w:t>
      </w:r>
      <w:r>
        <w:rPr>
          <w:rFonts w:hint="eastAsia" w:ascii="仿宋_GB2312" w:hAnsi="宋体" w:eastAsia="仿宋_GB2312"/>
          <w:highlight w:val="none"/>
          <w:lang w:val="en-US" w:eastAsia="zh-CN"/>
        </w:rPr>
        <w:t>5,000</w:t>
      </w:r>
      <w:r>
        <w:rPr>
          <w:rFonts w:hint="eastAsia" w:ascii="仿宋_GB2312" w:hAnsi="宋体" w:eastAsia="仿宋_GB2312"/>
          <w:highlight w:val="none"/>
        </w:rPr>
        <w:t>万元补充一般公共预算</w:t>
      </w:r>
      <w:r>
        <w:rPr>
          <w:rFonts w:hint="eastAsia" w:ascii="仿宋_GB2312" w:hAnsi="宋体" w:eastAsia="仿宋_GB2312"/>
          <w:highlight w:val="none"/>
          <w:lang w:eastAsia="zh-CN"/>
        </w:rPr>
        <w:t>，</w:t>
      </w:r>
      <w:r>
        <w:rPr>
          <w:rFonts w:hint="eastAsia" w:ascii="仿宋_GB2312" w:hAnsi="宋体" w:eastAsia="仿宋_GB2312"/>
          <w:highlight w:val="none"/>
        </w:rPr>
        <w:t>总支出为</w:t>
      </w:r>
      <w:r>
        <w:rPr>
          <w:rFonts w:hint="eastAsia" w:ascii="仿宋_GB2312" w:hAnsi="宋体" w:eastAsia="仿宋_GB2312"/>
          <w:highlight w:val="none"/>
          <w:lang w:val="en-US" w:eastAsia="zh-CN"/>
        </w:rPr>
        <w:t>232,330</w:t>
      </w:r>
      <w:r>
        <w:rPr>
          <w:rFonts w:hint="eastAsia" w:ascii="仿宋_GB2312" w:hAnsi="宋体" w:eastAsia="仿宋_GB2312"/>
          <w:highlight w:val="none"/>
        </w:rPr>
        <w:t>万元</w:t>
      </w:r>
      <w:r>
        <w:rPr>
          <w:rFonts w:hint="eastAsia" w:ascii="仿宋_GB2312" w:hAnsi="宋体" w:eastAsia="仿宋_GB2312"/>
          <w:color w:val="000000" w:themeColor="text1"/>
          <w:highlight w:val="none"/>
          <w14:textFill>
            <w14:solidFill>
              <w14:schemeClr w14:val="tx1"/>
            </w14:solidFill>
          </w14:textFill>
        </w:rPr>
        <w:t>。收支相抵，年终滚存结余</w:t>
      </w:r>
      <w:r>
        <w:rPr>
          <w:rFonts w:hint="eastAsia" w:ascii="仿宋_GB2312" w:hAnsi="宋体" w:eastAsia="仿宋_GB2312"/>
          <w:color w:val="000000" w:themeColor="text1"/>
          <w:highlight w:val="none"/>
          <w:lang w:val="en-US" w:eastAsia="zh-CN"/>
          <w14:textFill>
            <w14:solidFill>
              <w14:schemeClr w14:val="tx1"/>
            </w14:solidFill>
          </w14:textFill>
        </w:rPr>
        <w:t>35,530</w:t>
      </w:r>
      <w:r>
        <w:rPr>
          <w:rFonts w:hint="eastAsia" w:ascii="仿宋_GB2312" w:hAnsi="宋体" w:eastAsia="仿宋_GB2312"/>
          <w:color w:val="000000" w:themeColor="text1"/>
          <w:highlight w:val="none"/>
          <w14:textFill>
            <w14:solidFill>
              <w14:schemeClr w14:val="tx1"/>
            </w14:solidFill>
          </w14:textFill>
        </w:rPr>
        <w:t>万元，当年实现了收支平衡。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color w:val="000000" w:themeColor="text1"/>
          <w:highlight w:val="none"/>
          <w14:textFill>
            <w14:solidFill>
              <w14:schemeClr w14:val="tx1"/>
            </w14:solidFill>
          </w14:textFill>
        </w:rPr>
      </w:pPr>
      <w:r>
        <w:rPr>
          <w:rFonts w:hint="eastAsia" w:ascii="楷体_GB2312" w:hAnsi="宋体" w:eastAsia="楷体_GB2312"/>
          <w:b/>
          <w:color w:val="000000" w:themeColor="text1"/>
          <w:highlight w:val="none"/>
          <w14:textFill>
            <w14:solidFill>
              <w14:schemeClr w14:val="tx1"/>
            </w14:solidFill>
          </w14:textFill>
        </w:rPr>
        <w:t>（三）社保基金预算收支执行情况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highlight w:val="none"/>
          <w:lang w:val="en-US" w:eastAsia="zh-CN"/>
          <w14:textFill>
            <w14:solidFill>
              <w14:schemeClr w14:val="tx1"/>
            </w14:solidFill>
          </w14:textFill>
        </w:rPr>
        <w:t>2023年社会保险基金收入13,294万元，其中：城乡居民</w:t>
      </w:r>
      <w:r>
        <w:rPr>
          <w:rFonts w:hint="eastAsia" w:ascii="仿宋_GB2312" w:hAnsi="宋体" w:eastAsia="仿宋_GB2312" w:cs="Times New Roman"/>
          <w:color w:val="000000" w:themeColor="text1"/>
          <w:spacing w:val="-6"/>
          <w:sz w:val="32"/>
          <w:highlight w:val="none"/>
          <w:lang w:val="en-US" w:eastAsia="zh-CN"/>
          <w14:textFill>
            <w14:solidFill>
              <w14:schemeClr w14:val="tx1"/>
            </w14:solidFill>
          </w14:textFill>
        </w:rPr>
        <w:t>基本养老保险4,132万元，机关事业单位养老保险9,162万元。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000000" w:themeColor="text1"/>
          <w:highlight w:val="none"/>
          <w:lang w:val="en-US" w:eastAsia="zh-CN"/>
          <w14:textFill>
            <w14:solidFill>
              <w14:schemeClr w14:val="tx1"/>
            </w14:solidFill>
          </w14:textFill>
        </w:rPr>
      </w:pPr>
      <w:r>
        <w:rPr>
          <w:rFonts w:hint="eastAsia" w:ascii="仿宋_GB2312" w:hAnsi="宋体" w:eastAsia="仿宋_GB2312" w:cs="Times New Roman"/>
          <w:color w:val="000000" w:themeColor="text1"/>
          <w:highlight w:val="none"/>
          <w:lang w:val="en-US" w:eastAsia="zh-CN"/>
          <w14:textFill>
            <w14:solidFill>
              <w14:schemeClr w14:val="tx1"/>
            </w14:solidFill>
          </w14:textFill>
        </w:rPr>
        <w:t>2023年社会保险基金支出10,222万元，其中：城乡居民</w:t>
      </w:r>
      <w:r>
        <w:rPr>
          <w:rFonts w:hint="eastAsia" w:ascii="仿宋_GB2312" w:hAnsi="宋体" w:eastAsia="仿宋_GB2312" w:cs="Times New Roman"/>
          <w:color w:val="000000" w:themeColor="text1"/>
          <w:spacing w:val="-6"/>
          <w:sz w:val="32"/>
          <w:highlight w:val="none"/>
          <w:lang w:val="en-US" w:eastAsia="zh-CN"/>
          <w14:textFill>
            <w14:solidFill>
              <w14:schemeClr w14:val="tx1"/>
            </w14:solidFill>
          </w14:textFill>
        </w:rPr>
        <w:t>基本养老保险3,104万元，机关事业单位养老保险7,118万元。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楷体_GB2312" w:hAnsi="宋体" w:eastAsia="楷体_GB2312"/>
          <w:b/>
          <w:kern w:val="2"/>
          <w:sz w:val="32"/>
          <w:highlight w:val="none"/>
        </w:rPr>
      </w:pPr>
      <w:r>
        <w:rPr>
          <w:rFonts w:hint="eastAsia" w:ascii="楷体_GB2312" w:hAnsi="宋体" w:eastAsia="楷体_GB2312"/>
          <w:b/>
          <w:kern w:val="2"/>
          <w:sz w:val="32"/>
          <w:highlight w:val="none"/>
        </w:rPr>
        <w:t>（四）国有资本经营预算收支执行情况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lang w:val="en-US" w:eastAsia="zh-CN"/>
        </w:rPr>
        <w:t>2023</w:t>
      </w:r>
      <w:r>
        <w:rPr>
          <w:rFonts w:hint="eastAsia" w:ascii="仿宋_GB2312" w:hAnsi="宋体" w:eastAsia="仿宋_GB2312"/>
          <w:highlight w:val="none"/>
        </w:rPr>
        <w:t>年我市国有资本经营预算收入执行数</w:t>
      </w:r>
      <w:r>
        <w:rPr>
          <w:rFonts w:hint="eastAsia" w:ascii="仿宋_GB2312" w:hAnsi="宋体" w:eastAsia="仿宋_GB2312"/>
          <w:highlight w:val="none"/>
          <w:lang w:val="en-US" w:eastAsia="zh-CN"/>
        </w:rPr>
        <w:t>102</w:t>
      </w:r>
      <w:r>
        <w:rPr>
          <w:rFonts w:hint="eastAsia" w:ascii="仿宋_GB2312" w:hAnsi="宋体" w:eastAsia="仿宋_GB2312"/>
          <w:highlight w:val="none"/>
        </w:rPr>
        <w:t>万元</w:t>
      </w:r>
      <w:r>
        <w:rPr>
          <w:rFonts w:hint="eastAsia" w:ascii="仿宋_GB2312" w:hAnsi="宋体" w:eastAsia="仿宋_GB2312"/>
          <w:highlight w:val="none"/>
          <w:lang w:val="en-US" w:eastAsia="zh-CN"/>
        </w:rPr>
        <w:t>，</w:t>
      </w:r>
      <w:r>
        <w:rPr>
          <w:rFonts w:hint="eastAsia" w:ascii="仿宋_GB2312" w:hAnsi="宋体" w:eastAsia="仿宋_GB2312"/>
          <w:highlight w:val="none"/>
        </w:rPr>
        <w:t>国有资本经营预算</w:t>
      </w:r>
      <w:r>
        <w:rPr>
          <w:rFonts w:hint="eastAsia" w:ascii="仿宋_GB2312" w:hAnsi="宋体" w:eastAsia="仿宋_GB2312"/>
          <w:highlight w:val="none"/>
          <w:lang w:eastAsia="zh-CN"/>
        </w:rPr>
        <w:t>支出执行数</w:t>
      </w:r>
      <w:r>
        <w:rPr>
          <w:rFonts w:hint="eastAsia" w:ascii="仿宋_GB2312" w:hAnsi="宋体" w:eastAsia="仿宋_GB2312"/>
          <w:highlight w:val="none"/>
          <w:lang w:val="en-US" w:eastAsia="zh-CN"/>
        </w:rPr>
        <w:t>2万元，主要是调出到一般公共预算100万元</w:t>
      </w:r>
      <w:r>
        <w:rPr>
          <w:rFonts w:hint="eastAsia" w:ascii="仿宋_GB2312" w:hAnsi="宋体" w:eastAsia="仿宋_GB231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rPr>
        <w:t>以上是预算执行数，由于上级补助收入和上解支出在省、市决算编制汇总后可能会有调整，总收入、总支出及净结余也相应会发生一些变化，届时再向人大常委会报告。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宋体" w:eastAsia="楷体_GB2312"/>
          <w:b/>
          <w:lang w:eastAsia="zh-CN"/>
        </w:rPr>
      </w:pPr>
      <w:r>
        <w:rPr>
          <w:rFonts w:hint="eastAsia" w:ascii="楷体_GB2312" w:hAnsi="宋体" w:eastAsia="楷体_GB2312"/>
          <w:b/>
        </w:rPr>
        <w:t>（</w:t>
      </w:r>
      <w:r>
        <w:rPr>
          <w:rFonts w:hint="eastAsia" w:ascii="楷体_GB2312" w:hAnsi="宋体" w:eastAsia="楷体_GB2312"/>
          <w:b/>
          <w:lang w:eastAsia="zh-CN"/>
        </w:rPr>
        <w:t>五</w:t>
      </w:r>
      <w:r>
        <w:rPr>
          <w:rFonts w:hint="eastAsia" w:ascii="楷体_GB2312" w:hAnsi="宋体" w:eastAsia="楷体_GB2312"/>
          <w:b/>
        </w:rPr>
        <w:t>）20</w:t>
      </w:r>
      <w:r>
        <w:rPr>
          <w:rFonts w:hint="eastAsia" w:ascii="楷体_GB2312" w:hAnsi="宋体" w:eastAsia="楷体_GB2312"/>
          <w:b/>
          <w:lang w:val="en-US" w:eastAsia="zh-CN"/>
        </w:rPr>
        <w:t>23</w:t>
      </w:r>
      <w:r>
        <w:rPr>
          <w:rFonts w:hint="eastAsia" w:ascii="楷体_GB2312" w:hAnsi="宋体" w:eastAsia="楷体_GB2312"/>
          <w:b/>
        </w:rPr>
        <w:t>年财政工作</w:t>
      </w:r>
      <w:r>
        <w:rPr>
          <w:rFonts w:hint="eastAsia" w:ascii="楷体_GB2312" w:hAnsi="宋体" w:eastAsia="楷体_GB2312"/>
          <w:b/>
          <w:lang w:eastAsia="zh-CN"/>
        </w:rPr>
        <w:t>主要成效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rPr>
      </w:pPr>
      <w:r>
        <w:rPr>
          <w:rFonts w:hint="eastAsia" w:ascii="仿宋_GB2312" w:hAnsi="宋体" w:eastAsia="仿宋_GB2312"/>
        </w:rPr>
        <w:t>20</w:t>
      </w:r>
      <w:r>
        <w:rPr>
          <w:rFonts w:hint="eastAsia" w:ascii="仿宋_GB2312" w:hAnsi="宋体" w:eastAsia="仿宋_GB2312"/>
          <w:lang w:val="en-US" w:eastAsia="zh-CN"/>
        </w:rPr>
        <w:t>23</w:t>
      </w:r>
      <w:r>
        <w:rPr>
          <w:rFonts w:hint="eastAsia" w:ascii="仿宋_GB2312" w:hAnsi="宋体" w:eastAsia="仿宋_GB2312"/>
        </w:rPr>
        <w:t>年，财政部门紧紧围绕</w:t>
      </w:r>
      <w:r>
        <w:rPr>
          <w:rFonts w:hint="eastAsia" w:ascii="仿宋_GB2312" w:hAnsi="宋体" w:eastAsia="仿宋_GB2312"/>
          <w:lang w:eastAsia="zh-CN"/>
        </w:rPr>
        <w:t>市</w:t>
      </w:r>
      <w:r>
        <w:rPr>
          <w:rFonts w:hint="eastAsia" w:ascii="仿宋_GB2312" w:hAnsi="宋体" w:eastAsia="仿宋_GB2312"/>
        </w:rPr>
        <w:t>委、</w:t>
      </w:r>
      <w:r>
        <w:rPr>
          <w:rFonts w:hint="eastAsia" w:ascii="仿宋_GB2312" w:hAnsi="宋体" w:eastAsia="仿宋_GB2312"/>
          <w:lang w:eastAsia="zh-CN"/>
        </w:rPr>
        <w:t>市</w:t>
      </w:r>
      <w:r>
        <w:rPr>
          <w:rFonts w:hint="eastAsia" w:ascii="仿宋_GB2312" w:hAnsi="宋体" w:eastAsia="仿宋_GB2312"/>
        </w:rPr>
        <w:t>政府确定的年度发展目标和工作任务，坚持稳中求进工作总基调，坚持政府带头过紧日子，调整优化支出结构，加强重点领域支出保障，推进全面实施预算绩效管理，防范债务风险，为推动经济平稳增长和社会进步提供了有力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rPr>
      </w:pPr>
      <w:r>
        <w:rPr>
          <w:rFonts w:hint="eastAsia" w:ascii="仿宋_GB2312" w:hAnsi="宋体" w:eastAsia="仿宋_GB2312"/>
          <w:b/>
          <w:bCs/>
          <w:lang w:val="en-US" w:eastAsia="zh-CN"/>
        </w:rPr>
        <w:t>一是</w:t>
      </w:r>
      <w:r>
        <w:rPr>
          <w:rFonts w:hint="eastAsia" w:ascii="仿宋_GB2312" w:hAnsi="宋体" w:eastAsia="仿宋_GB2312"/>
          <w:b/>
          <w:bCs/>
        </w:rPr>
        <w:t>攻坚克难聚财力，保障协同“稳中有进”</w:t>
      </w:r>
      <w:r>
        <w:rPr>
          <w:rFonts w:hint="eastAsia" w:ascii="仿宋_GB2312" w:hAnsi="宋体" w:eastAsia="仿宋_GB2312"/>
          <w:b/>
          <w:bCs/>
          <w:lang w:val="en-US" w:eastAsia="zh-CN"/>
        </w:rPr>
        <w:t>。</w:t>
      </w:r>
      <w:r>
        <w:rPr>
          <w:rFonts w:hint="eastAsia" w:ascii="仿宋_GB2312" w:hAnsi="宋体" w:eastAsia="仿宋_GB2312"/>
          <w:lang w:val="en-US" w:eastAsia="zh-CN"/>
        </w:rPr>
        <w:t>坚持收入一盘棋，及时分析研判经济形势，合理把握收入节奏。一般公共预算收入实现6.74</w:t>
      </w:r>
      <w:r>
        <w:rPr>
          <w:rFonts w:hint="default" w:ascii="仿宋_GB2312" w:hAnsi="宋体" w:eastAsia="仿宋_GB2312"/>
          <w:lang w:val="en-US" w:eastAsia="zh-CN"/>
        </w:rPr>
        <w:t>%</w:t>
      </w:r>
      <w:r>
        <w:rPr>
          <w:rFonts w:hint="eastAsia" w:ascii="仿宋_GB2312" w:hAnsi="宋体" w:eastAsia="仿宋_GB2312"/>
          <w:lang w:val="en-US" w:eastAsia="zh-CN"/>
        </w:rPr>
        <w:t>增长，税收收入占一般公共预算收入的比重为93.78</w:t>
      </w:r>
      <w:r>
        <w:rPr>
          <w:rFonts w:hint="default" w:ascii="仿宋_GB2312" w:hAnsi="宋体" w:eastAsia="仿宋_GB2312"/>
          <w:lang w:val="en-US" w:eastAsia="zh-CN"/>
        </w:rPr>
        <w:t>%</w:t>
      </w:r>
      <w:r>
        <w:rPr>
          <w:rFonts w:hint="eastAsia" w:ascii="仿宋_GB2312" w:hAnsi="宋体" w:eastAsia="仿宋_GB2312"/>
          <w:lang w:val="en-US" w:eastAsia="zh-CN"/>
        </w:rPr>
        <w:t>，收入总量稳居全市前列。</w:t>
      </w:r>
      <w:r>
        <w:rPr>
          <w:rFonts w:hint="eastAsia" w:ascii="仿宋_GB2312" w:hAnsi="仿宋_GB2312" w:eastAsia="仿宋_GB2312" w:cs="仿宋_GB2312"/>
          <w:color w:val="auto"/>
          <w:sz w:val="32"/>
          <w:szCs w:val="32"/>
          <w:lang w:val="en-US" w:eastAsia="zh-CN"/>
        </w:rPr>
        <w:t>争取新增政府债务限额11.87亿元，其中新增一般债务限额1.38亿元，主要用于城区道路改造、共青城市生态体育公园、共青城市网球运动中心综合楼等20个公益性民生项目；新增专项债务限额10.49亿元，助推供水保障一体化项目、冷链仓储智慧物流配送中心、数字科创园区、老旧小区改造、殡仪馆改扩建、城乡养老工程、智慧医疗、第五幼儿园、完整居住社区、苏家垱乡中心幼儿园、青春湖景区、苏家垱乡全程机械化综合农事服务中心12个重点项目落地</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宋体" w:eastAsia="仿宋_GB2312"/>
          <w:b/>
          <w:bCs/>
          <w:lang w:val="en-US" w:eastAsia="zh-CN"/>
        </w:rPr>
        <w:t>二是</w:t>
      </w:r>
      <w:r>
        <w:rPr>
          <w:rFonts w:hint="eastAsia" w:ascii="仿宋_GB2312" w:hAnsi="宋体" w:eastAsia="仿宋_GB2312"/>
          <w:b/>
          <w:bCs/>
        </w:rPr>
        <w:t>夯实民生增福祉</w:t>
      </w:r>
      <w:r>
        <w:rPr>
          <w:rFonts w:hint="eastAsia" w:ascii="仿宋_GB2312" w:hAnsi="宋体" w:eastAsia="仿宋_GB2312"/>
          <w:b/>
          <w:bCs/>
          <w:lang w:val="en-US" w:eastAsia="zh-CN"/>
        </w:rPr>
        <w:t>，</w:t>
      </w:r>
      <w:r>
        <w:rPr>
          <w:rFonts w:hint="eastAsia" w:ascii="仿宋_GB2312" w:hAnsi="宋体" w:eastAsia="仿宋_GB2312"/>
          <w:b/>
          <w:bCs/>
        </w:rPr>
        <w:t>普惠共享“稳中向好”</w:t>
      </w:r>
      <w:r>
        <w:rPr>
          <w:rFonts w:hint="eastAsia" w:ascii="仿宋_GB2312" w:hAnsi="宋体" w:eastAsia="仿宋_GB2312"/>
          <w:b/>
          <w:bCs/>
          <w:lang w:val="en-US" w:eastAsia="zh-CN"/>
        </w:rPr>
        <w:t>。</w:t>
      </w:r>
      <w:r>
        <w:rPr>
          <w:rFonts w:hint="eastAsia" w:ascii="仿宋_GB2312" w:hAnsi="仿宋_GB2312" w:eastAsia="仿宋_GB2312" w:cs="仿宋_GB2312"/>
          <w:color w:val="auto"/>
          <w:sz w:val="32"/>
          <w:szCs w:val="32"/>
          <w:lang w:val="en-US" w:eastAsia="zh-CN"/>
        </w:rPr>
        <w:t>坚持用政府的“紧日子”让群众过上“好日子”，扎实开展“幸福江西”建设</w:t>
      </w:r>
      <w:r>
        <w:rPr>
          <w:rFonts w:hint="eastAsia" w:ascii="仿宋_GB2312" w:hAnsi="仿宋_GB2312" w:eastAsia="仿宋_GB2312" w:cs="仿宋_GB2312"/>
          <w:color w:val="auto"/>
          <w:sz w:val="32"/>
          <w:szCs w:val="32"/>
          <w:lang w:val="zh-CN" w:eastAsia="zh-CN"/>
        </w:rPr>
        <w:t>，竭力保障和改善民生，全力推进各项</w:t>
      </w:r>
      <w:r>
        <w:rPr>
          <w:rFonts w:hint="eastAsia" w:ascii="仿宋_GB2312" w:hAnsi="仿宋_GB2312" w:eastAsia="仿宋_GB2312" w:cs="仿宋_GB2312"/>
          <w:b w:val="0"/>
          <w:bCs w:val="0"/>
          <w:color w:val="auto"/>
          <w:kern w:val="0"/>
          <w:sz w:val="32"/>
          <w:szCs w:val="32"/>
          <w:lang w:val="zh-CN" w:eastAsia="zh-CN" w:bidi="ar"/>
        </w:rPr>
        <w:t>指标。</w:t>
      </w:r>
      <w:r>
        <w:rPr>
          <w:rFonts w:hint="eastAsia" w:ascii="仿宋_GB2312" w:hAnsi="仿宋_GB2312" w:eastAsia="仿宋_GB2312" w:cs="仿宋_GB2312"/>
          <w:b w:val="0"/>
          <w:bCs w:val="0"/>
          <w:color w:val="auto"/>
          <w:kern w:val="0"/>
          <w:sz w:val="32"/>
          <w:szCs w:val="32"/>
          <w:lang w:val="en-US" w:eastAsia="zh-CN" w:bidi="ar"/>
        </w:rPr>
        <w:t>2023年，全市一般公共预算支出35.76亿元，其中民生领域支出28.96亿元,占一般公共预算支出的80%以上，</w:t>
      </w:r>
      <w:r>
        <w:rPr>
          <w:rFonts w:hint="eastAsia" w:ascii="仿宋_GB2312" w:hAnsi="仿宋_GB2312" w:eastAsia="仿宋_GB2312" w:cs="仿宋_GB2312"/>
          <w:b w:val="0"/>
          <w:bCs w:val="0"/>
          <w:color w:val="auto"/>
          <w:kern w:val="0"/>
          <w:sz w:val="32"/>
          <w:szCs w:val="32"/>
          <w:highlight w:val="none"/>
          <w:lang w:val="en-US" w:eastAsia="zh-CN" w:bidi="ar"/>
        </w:rPr>
        <w:t>其中教育投入6.69亿元，社保和就业支出2.11亿元，卫生健康支出1.64亿元，文化传媒支出1.25亿元。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宋体" w:eastAsia="仿宋_GB2312" w:cs="Times New Roman"/>
          <w:b/>
          <w:bCs/>
          <w:kern w:val="2"/>
          <w:sz w:val="32"/>
          <w:szCs w:val="32"/>
          <w:lang w:val="en-US" w:eastAsia="zh-CN" w:bidi="ar-SA"/>
        </w:rPr>
        <w:t>三是规范管理提效能，财政改革“稳中优化”。</w:t>
      </w:r>
      <w:r>
        <w:rPr>
          <w:rFonts w:hint="eastAsia" w:ascii="仿宋_GB2312" w:hAnsi="仿宋_GB2312" w:eastAsia="仿宋_GB2312" w:cs="仿宋_GB2312"/>
          <w:color w:val="auto"/>
          <w:sz w:val="32"/>
          <w:szCs w:val="32"/>
          <w:lang w:val="en-US" w:eastAsia="zh-CN"/>
        </w:rPr>
        <w:t>注重做好市三届人大三次会议代表建议和市政协三届三次会议提案办理工作，重点落实我局牵头的提案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关于落实共青城市一般干部职工通讯费限额报</w:t>
      </w:r>
      <w:r>
        <w:rPr>
          <w:rFonts w:hint="eastAsia" w:ascii="仿宋_GB2312" w:hAnsi="仿宋_GB2312" w:eastAsia="仿宋_GB2312" w:cs="仿宋_GB2312"/>
          <w:b w:val="0"/>
          <w:bCs w:val="0"/>
          <w:color w:val="auto"/>
          <w:kern w:val="2"/>
          <w:sz w:val="32"/>
          <w:szCs w:val="32"/>
          <w:lang w:val="en-US" w:eastAsia="zh-CN" w:bidi="ar-SA"/>
        </w:rPr>
        <w:t>销的意见和建议》，已办结，满意率100%。加强财政资金监管，共开展各类监督检查10余次，其中包括财政监督检查、会计信息质量检查、预决算公开自查自纠和交叉检查、财经纪律专项整治重点问题自查自纠、政府购买服务专项整治等。</w:t>
      </w:r>
      <w:r>
        <w:rPr>
          <w:rFonts w:hint="eastAsia" w:ascii="仿宋_GB2312" w:hAnsi="仿宋_GB2312" w:eastAsia="仿宋_GB2312" w:cs="仿宋_GB2312"/>
          <w:color w:val="auto"/>
          <w:sz w:val="32"/>
          <w:szCs w:val="32"/>
        </w:rPr>
        <w:t>坚持依法理财，完善预算编制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执行、决算各个环节的监督机制，强化对财政资金的使用执行，确保财政资金使用合理合法合规。</w:t>
      </w:r>
      <w:r>
        <w:rPr>
          <w:rFonts w:hint="eastAsia" w:ascii="仿宋_GB2312" w:hAnsi="仿宋_GB2312" w:eastAsia="仿宋_GB2312" w:cs="仿宋_GB2312"/>
          <w:b w:val="0"/>
          <w:bCs w:val="0"/>
          <w:color w:val="auto"/>
          <w:sz w:val="32"/>
          <w:szCs w:val="32"/>
          <w:lang w:eastAsia="zh-CN"/>
        </w:rPr>
        <w:t>大力推进</w:t>
      </w:r>
      <w:r>
        <w:rPr>
          <w:rFonts w:hint="eastAsia" w:ascii="仿宋_GB2312" w:hAnsi="仿宋_GB2312" w:eastAsia="仿宋_GB2312" w:cs="仿宋_GB2312"/>
          <w:b w:val="0"/>
          <w:bCs w:val="0"/>
          <w:color w:val="auto"/>
          <w:sz w:val="32"/>
          <w:szCs w:val="32"/>
        </w:rPr>
        <w:t>政府采购</w:t>
      </w:r>
      <w:r>
        <w:rPr>
          <w:rFonts w:hint="eastAsia" w:ascii="仿宋_GB2312" w:hAnsi="仿宋_GB2312" w:eastAsia="仿宋_GB2312" w:cs="仿宋_GB2312"/>
          <w:b w:val="0"/>
          <w:bCs w:val="0"/>
          <w:color w:val="auto"/>
          <w:sz w:val="32"/>
          <w:szCs w:val="32"/>
          <w:lang w:eastAsia="zh-CN"/>
        </w:rPr>
        <w:t>改革</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不断优化营商环境。</w:t>
      </w:r>
      <w:r>
        <w:rPr>
          <w:rFonts w:hint="eastAsia" w:ascii="仿宋_GB2312" w:hAnsi="仿宋_GB2312" w:eastAsia="仿宋_GB2312" w:cs="仿宋_GB2312"/>
          <w:b w:val="0"/>
          <w:bCs w:val="0"/>
          <w:color w:val="auto"/>
          <w:sz w:val="32"/>
          <w:szCs w:val="32"/>
          <w:lang w:val="en-US" w:eastAsia="zh-CN"/>
        </w:rPr>
        <w:t>2023年</w:t>
      </w:r>
      <w:r>
        <w:rPr>
          <w:rFonts w:hint="eastAsia" w:ascii="仿宋_GB2312" w:hAnsi="仿宋_GB2312" w:eastAsia="仿宋_GB2312" w:cs="仿宋_GB2312"/>
          <w:b w:val="0"/>
          <w:bCs w:val="0"/>
          <w:color w:val="auto"/>
          <w:sz w:val="32"/>
          <w:szCs w:val="32"/>
        </w:rPr>
        <w:t>，全市预算采购金额达7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622万元，合同采购金额达7</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012</w:t>
      </w:r>
      <w:r>
        <w:rPr>
          <w:rFonts w:hint="eastAsia" w:ascii="仿宋_GB2312" w:hAnsi="仿宋_GB2312" w:eastAsia="仿宋_GB2312" w:cs="仿宋_GB2312"/>
          <w:b w:val="0"/>
          <w:bCs w:val="0"/>
          <w:color w:val="auto"/>
          <w:sz w:val="32"/>
          <w:szCs w:val="32"/>
          <w:lang w:eastAsia="zh-CN"/>
        </w:rPr>
        <w:t>万</w:t>
      </w:r>
      <w:r>
        <w:rPr>
          <w:rFonts w:hint="eastAsia" w:ascii="仿宋_GB2312" w:hAnsi="仿宋_GB2312" w:eastAsia="仿宋_GB2312" w:cs="仿宋_GB2312"/>
          <w:b w:val="0"/>
          <w:bCs w:val="0"/>
          <w:color w:val="auto"/>
          <w:sz w:val="32"/>
          <w:szCs w:val="32"/>
        </w:rPr>
        <w:t>元，节约资金6</w:t>
      </w: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val="0"/>
          <w:bCs w:val="0"/>
          <w:color w:val="auto"/>
          <w:sz w:val="32"/>
          <w:szCs w:val="32"/>
        </w:rPr>
        <w:t>万元，资金节约率为8%，有效降低了财政采购支出，发挥了资金的使用效益。加大财政投资评审力度，保障财政投资资金的健康运行，2023年，累计完成各类工程项目74个，送审金额166</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40</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万元，审定金额153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720万元，审减投资12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68</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万元，审减率7.62%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财政性投资资金发生了良好效益。</w:t>
      </w:r>
      <w:r>
        <w:rPr>
          <w:rFonts w:hint="eastAsia" w:ascii="仿宋_GB2312" w:hAnsi="仿宋_GB2312" w:eastAsia="仿宋_GB2312" w:cs="仿宋_GB2312"/>
          <w:i w:val="0"/>
          <w:iCs w:val="0"/>
          <w:caps w:val="0"/>
          <w:color w:val="auto"/>
          <w:spacing w:val="0"/>
          <w:sz w:val="32"/>
          <w:szCs w:val="32"/>
          <w:shd w:val="clear" w:color="auto" w:fill="FFFFFF"/>
        </w:rPr>
        <w:t>202</w:t>
      </w:r>
      <w:r>
        <w:rPr>
          <w:rFonts w:hint="eastAsia" w:ascii="仿宋_GB2312" w:hAnsi="仿宋_GB2312" w:eastAsia="仿宋_GB2312" w:cs="仿宋_GB2312"/>
          <w:i w:val="0"/>
          <w:iCs w:val="0"/>
          <w:caps w:val="0"/>
          <w:color w:val="auto"/>
          <w:spacing w:val="0"/>
          <w:sz w:val="32"/>
          <w:szCs w:val="32"/>
          <w:shd w:val="clear" w:color="auto" w:fill="FFFFFF"/>
          <w:lang w:val="en-US" w:eastAsia="zh-CN"/>
        </w:rPr>
        <w:t>3</w:t>
      </w:r>
      <w:r>
        <w:rPr>
          <w:rFonts w:hint="eastAsia" w:ascii="仿宋_GB2312" w:hAnsi="仿宋_GB2312" w:eastAsia="仿宋_GB2312" w:cs="仿宋_GB2312"/>
          <w:i w:val="0"/>
          <w:iCs w:val="0"/>
          <w:caps w:val="0"/>
          <w:color w:val="auto"/>
          <w:spacing w:val="0"/>
          <w:sz w:val="32"/>
          <w:szCs w:val="32"/>
          <w:shd w:val="clear" w:color="auto" w:fill="FFFFFF"/>
        </w:rPr>
        <w:t>年度全国会计专业技术初级资格考试（九江考区</w:t>
      </w:r>
      <w:r>
        <w:rPr>
          <w:rFonts w:hint="eastAsia" w:ascii="仿宋_GB2312" w:hAnsi="仿宋_GB2312" w:eastAsia="仿宋_GB2312" w:cs="仿宋_GB2312"/>
          <w:i w:val="0"/>
          <w:iCs w:val="0"/>
          <w:caps w:val="0"/>
          <w:color w:val="auto"/>
          <w:spacing w:val="0"/>
          <w:sz w:val="32"/>
          <w:szCs w:val="32"/>
          <w:shd w:val="clear" w:color="auto" w:fill="FFFFFF"/>
          <w:lang w:eastAsia="zh-CN"/>
        </w:rPr>
        <w:t>共青城考点</w:t>
      </w:r>
      <w:r>
        <w:rPr>
          <w:rFonts w:hint="eastAsia" w:ascii="仿宋_GB2312" w:hAnsi="仿宋_GB2312" w:eastAsia="仿宋_GB2312" w:cs="仿宋_GB2312"/>
          <w:i w:val="0"/>
          <w:iCs w:val="0"/>
          <w:caps w:val="0"/>
          <w:color w:val="auto"/>
          <w:spacing w:val="0"/>
          <w:sz w:val="32"/>
          <w:szCs w:val="32"/>
          <w:shd w:val="clear" w:color="auto" w:fill="FFFFFF"/>
        </w:rPr>
        <w:t>）顺利举行。</w:t>
      </w:r>
      <w:r>
        <w:rPr>
          <w:rFonts w:hint="eastAsia" w:ascii="仿宋_GB2312" w:hAnsi="仿宋_GB2312" w:eastAsia="仿宋_GB2312" w:cs="仿宋_GB2312"/>
          <w:i w:val="0"/>
          <w:iCs w:val="0"/>
          <w:caps w:val="0"/>
          <w:color w:val="auto"/>
          <w:spacing w:val="0"/>
          <w:sz w:val="32"/>
          <w:szCs w:val="32"/>
          <w:shd w:val="clear" w:color="auto" w:fill="FFFFFF"/>
          <w:lang w:eastAsia="zh-CN"/>
        </w:rPr>
        <w:t>此次考试共青城考点共设</w:t>
      </w:r>
      <w:r>
        <w:rPr>
          <w:rFonts w:hint="eastAsia" w:ascii="仿宋_GB2312" w:hAnsi="仿宋_GB2312" w:eastAsia="仿宋_GB2312" w:cs="仿宋_GB2312"/>
          <w:i w:val="0"/>
          <w:iCs w:val="0"/>
          <w:caps w:val="0"/>
          <w:color w:val="auto"/>
          <w:spacing w:val="0"/>
          <w:sz w:val="32"/>
          <w:szCs w:val="32"/>
          <w:shd w:val="clear" w:color="auto" w:fill="FFFFFF"/>
          <w:lang w:val="en-US" w:eastAsia="zh-CN"/>
        </w:rPr>
        <w:t>17</w:t>
      </w:r>
      <w:r>
        <w:rPr>
          <w:rFonts w:hint="eastAsia" w:ascii="仿宋_GB2312" w:hAnsi="仿宋_GB2312" w:eastAsia="仿宋_GB2312" w:cs="仿宋_GB2312"/>
          <w:i w:val="0"/>
          <w:iCs w:val="0"/>
          <w:caps w:val="0"/>
          <w:color w:val="auto"/>
          <w:spacing w:val="0"/>
          <w:sz w:val="32"/>
          <w:szCs w:val="32"/>
          <w:shd w:val="clear" w:color="auto" w:fill="FFFFFF"/>
        </w:rPr>
        <w:t>个考场，</w:t>
      </w:r>
      <w:r>
        <w:rPr>
          <w:rFonts w:hint="eastAsia" w:ascii="仿宋_GB2312" w:hAnsi="仿宋_GB2312" w:eastAsia="仿宋_GB2312" w:cs="仿宋_GB2312"/>
          <w:i w:val="0"/>
          <w:iCs w:val="0"/>
          <w:caps w:val="0"/>
          <w:color w:val="auto"/>
          <w:spacing w:val="0"/>
          <w:sz w:val="32"/>
          <w:szCs w:val="32"/>
          <w:shd w:val="clear" w:color="auto" w:fill="FFFFFF"/>
          <w:lang w:eastAsia="zh-CN"/>
        </w:rPr>
        <w:t>报考人数</w:t>
      </w:r>
      <w:r>
        <w:rPr>
          <w:rFonts w:hint="eastAsia" w:ascii="仿宋_GB2312" w:hAnsi="仿宋_GB2312" w:eastAsia="仿宋_GB2312" w:cs="仿宋_GB2312"/>
          <w:i w:val="0"/>
          <w:iCs w:val="0"/>
          <w:caps w:val="0"/>
          <w:color w:val="auto"/>
          <w:spacing w:val="0"/>
          <w:sz w:val="32"/>
          <w:szCs w:val="32"/>
          <w:shd w:val="clear" w:color="auto" w:fill="FFFFFF"/>
          <w:lang w:val="en-US" w:eastAsia="zh-CN"/>
        </w:rPr>
        <w:t>7348人，</w:t>
      </w:r>
      <w:r>
        <w:rPr>
          <w:rFonts w:hint="eastAsia" w:ascii="仿宋_GB2312" w:hAnsi="仿宋_GB2312" w:eastAsia="仿宋_GB2312" w:cs="仿宋_GB2312"/>
          <w:i w:val="0"/>
          <w:iCs w:val="0"/>
          <w:caps w:val="0"/>
          <w:color w:val="auto"/>
          <w:spacing w:val="0"/>
          <w:sz w:val="32"/>
          <w:szCs w:val="32"/>
          <w:shd w:val="clear" w:color="auto" w:fill="FFFFFF"/>
        </w:rPr>
        <w:t>参考率达</w:t>
      </w:r>
      <w:r>
        <w:rPr>
          <w:rFonts w:hint="eastAsia" w:ascii="仿宋_GB2312" w:hAnsi="仿宋_GB2312" w:eastAsia="仿宋_GB2312" w:cs="仿宋_GB2312"/>
          <w:i w:val="0"/>
          <w:iCs w:val="0"/>
          <w:caps w:val="0"/>
          <w:color w:val="auto"/>
          <w:spacing w:val="0"/>
          <w:sz w:val="32"/>
          <w:szCs w:val="32"/>
          <w:shd w:val="clear" w:color="auto" w:fill="FFFFFF"/>
          <w:lang w:val="en-US" w:eastAsia="zh-CN"/>
        </w:rPr>
        <w:t>89</w:t>
      </w:r>
      <w:r>
        <w:rPr>
          <w:rFonts w:hint="eastAsia" w:ascii="仿宋_GB2312" w:hAnsi="仿宋_GB2312" w:eastAsia="仿宋_GB2312" w:cs="仿宋_GB2312"/>
          <w:i w:val="0"/>
          <w:iCs w:val="0"/>
          <w:caps w:val="0"/>
          <w:color w:val="auto"/>
          <w:spacing w:val="0"/>
          <w:sz w:val="32"/>
          <w:szCs w:val="32"/>
          <w:shd w:val="clear" w:color="auto" w:fill="FFFFFF"/>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i w:val="0"/>
          <w:iCs w:val="0"/>
          <w:caps w:val="0"/>
          <w:color w:val="auto"/>
          <w:spacing w:val="0"/>
          <w:sz w:val="32"/>
          <w:szCs w:val="32"/>
          <w:shd w:val="clear" w:color="auto" w:fill="FFFFFF"/>
        </w:rPr>
        <w:t>考试</w:t>
      </w:r>
      <w:r>
        <w:rPr>
          <w:rFonts w:hint="eastAsia" w:ascii="仿宋_GB2312" w:hAnsi="仿宋_GB2312" w:eastAsia="仿宋_GB2312" w:cs="仿宋_GB2312"/>
          <w:i w:val="0"/>
          <w:iCs w:val="0"/>
          <w:caps w:val="0"/>
          <w:color w:val="auto"/>
          <w:spacing w:val="0"/>
          <w:sz w:val="32"/>
          <w:szCs w:val="32"/>
          <w:shd w:val="clear" w:color="auto" w:fill="FFFFFF"/>
          <w:lang w:eastAsia="zh-CN"/>
        </w:rPr>
        <w:t>各项工作得到了</w:t>
      </w:r>
      <w:r>
        <w:rPr>
          <w:rFonts w:hint="eastAsia" w:ascii="仿宋_GB2312" w:hAnsi="仿宋_GB2312" w:eastAsia="仿宋_GB2312" w:cs="仿宋_GB2312"/>
          <w:i w:val="0"/>
          <w:iCs w:val="0"/>
          <w:caps w:val="0"/>
          <w:color w:val="auto"/>
          <w:spacing w:val="0"/>
          <w:sz w:val="32"/>
          <w:szCs w:val="32"/>
          <w:shd w:val="clear" w:color="auto" w:fill="FFFFFF"/>
        </w:rPr>
        <w:t>巡视督导</w:t>
      </w:r>
      <w:r>
        <w:rPr>
          <w:rFonts w:hint="eastAsia" w:ascii="仿宋_GB2312" w:hAnsi="仿宋_GB2312" w:eastAsia="仿宋_GB2312" w:cs="仿宋_GB2312"/>
          <w:i w:val="0"/>
          <w:iCs w:val="0"/>
          <w:caps w:val="0"/>
          <w:color w:val="auto"/>
          <w:spacing w:val="0"/>
          <w:sz w:val="32"/>
          <w:szCs w:val="32"/>
          <w:shd w:val="clear" w:color="auto" w:fill="FFFFFF"/>
          <w:lang w:eastAsia="zh-CN"/>
        </w:rPr>
        <w:t>组的一致好评。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从20</w:t>
      </w:r>
      <w:r>
        <w:rPr>
          <w:rFonts w:hint="eastAsia" w:ascii="仿宋_GB2312" w:hAnsi="仿宋_GB2312" w:eastAsia="仿宋_GB2312" w:cs="仿宋_GB2312"/>
          <w:color w:val="000000"/>
          <w:sz w:val="32"/>
          <w:szCs w:val="32"/>
          <w:highlight w:val="none"/>
          <w:lang w:val="en-US" w:eastAsia="zh-CN"/>
        </w:rPr>
        <w:t>23</w:t>
      </w:r>
      <w:r>
        <w:rPr>
          <w:rFonts w:hint="eastAsia" w:ascii="仿宋_GB2312" w:hAnsi="仿宋_GB2312" w:eastAsia="仿宋_GB2312" w:cs="仿宋_GB2312"/>
          <w:color w:val="000000"/>
          <w:sz w:val="32"/>
          <w:szCs w:val="32"/>
          <w:highlight w:val="none"/>
        </w:rPr>
        <w:t>年财政</w:t>
      </w:r>
      <w:r>
        <w:rPr>
          <w:rFonts w:hint="eastAsia" w:ascii="仿宋_GB2312" w:hAnsi="仿宋_GB2312" w:eastAsia="仿宋_GB2312" w:cs="仿宋_GB2312"/>
          <w:color w:val="000000"/>
          <w:sz w:val="32"/>
          <w:szCs w:val="32"/>
          <w:highlight w:val="none"/>
          <w:lang w:eastAsia="zh-CN"/>
        </w:rPr>
        <w:t>执行</w:t>
      </w:r>
      <w:r>
        <w:rPr>
          <w:rFonts w:hint="eastAsia" w:ascii="仿宋_GB2312" w:hAnsi="仿宋_GB2312" w:eastAsia="仿宋_GB2312" w:cs="仿宋_GB2312"/>
          <w:color w:val="000000"/>
          <w:sz w:val="32"/>
          <w:szCs w:val="32"/>
          <w:highlight w:val="none"/>
        </w:rPr>
        <w:t>情况看，全市财政收入稳步增长，财政收支运行良好，实现了财政与经济的协调发展</w:t>
      </w:r>
      <w:r>
        <w:rPr>
          <w:rFonts w:hint="eastAsia" w:ascii="仿宋_GB2312" w:hAnsi="仿宋_GB2312" w:eastAsia="仿宋_GB2312" w:cs="仿宋_GB2312"/>
          <w:color w:val="000000"/>
          <w:sz w:val="32"/>
          <w:szCs w:val="32"/>
          <w:highlight w:val="none"/>
          <w:lang w:eastAsia="zh-CN"/>
        </w:rPr>
        <w:t>，但也要清醒认识到，当前财政运行管理中还存在一些突出的困难：一是经济下行压力尚未从根本上缓解，税收收入难以保持较快增长；二是支出结构难以调整，“三保”支出、刚性支出有增无减、还本付息进入高峰期，比上年新增</w:t>
      </w:r>
      <w:r>
        <w:rPr>
          <w:rFonts w:hint="eastAsia" w:ascii="仿宋_GB2312" w:hAnsi="仿宋_GB2312" w:eastAsia="仿宋_GB2312" w:cs="仿宋_GB2312"/>
          <w:color w:val="000000"/>
          <w:sz w:val="32"/>
          <w:szCs w:val="32"/>
          <w:highlight w:val="none"/>
          <w:lang w:val="en-US" w:eastAsia="zh-CN"/>
        </w:rPr>
        <w:t>4亿元</w:t>
      </w:r>
      <w:r>
        <w:rPr>
          <w:rFonts w:hint="eastAsia" w:ascii="仿宋_GB2312" w:hAnsi="仿宋_GB2312" w:eastAsia="仿宋_GB2312" w:cs="仿宋_GB2312"/>
          <w:color w:val="000000"/>
          <w:sz w:val="32"/>
          <w:szCs w:val="32"/>
          <w:highlight w:val="none"/>
          <w:lang w:eastAsia="zh-CN"/>
        </w:rPr>
        <w:t>；三是财政运行风险累积，新增债券规模空间减少，债券资金支持地方经济运行的能力减弱。对此，我们将保持高度的紧迫感和责任感，主动作为，积极应对，采取有效措施，在今后的工作中予以妥善解决，恳请各位代表和委员一如既往地理解、支持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highlight w:val="none"/>
        </w:rPr>
      </w:pPr>
      <w:r>
        <w:rPr>
          <w:rFonts w:hint="eastAsia" w:ascii="黑体" w:hAnsi="宋体" w:eastAsia="黑体"/>
          <w:highlight w:val="none"/>
        </w:rPr>
        <w:t>二、202</w:t>
      </w:r>
      <w:r>
        <w:rPr>
          <w:rFonts w:hint="eastAsia" w:ascii="黑体" w:hAnsi="宋体" w:eastAsia="黑体"/>
          <w:highlight w:val="none"/>
          <w:lang w:val="en-US" w:eastAsia="zh-CN"/>
        </w:rPr>
        <w:t>4</w:t>
      </w:r>
      <w:r>
        <w:rPr>
          <w:rFonts w:hint="eastAsia" w:ascii="黑体" w:hAnsi="宋体" w:eastAsia="黑体"/>
          <w:highlight w:val="none"/>
        </w:rPr>
        <w:t>年财政预算草案</w:t>
      </w:r>
      <w:r>
        <w:rPr>
          <w:rFonts w:hint="eastAsia" w:ascii="黑体" w:hAnsi="宋体" w:eastAsia="黑体"/>
          <w:highlight w:val="none"/>
        </w:rPr>
        <w:tab/>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仿宋_GB2312" w:eastAsia="仿宋_GB2312" w:cs="仿宋_GB2312"/>
          <w:bCs/>
          <w:color w:val="auto"/>
          <w:sz w:val="32"/>
          <w:szCs w:val="32"/>
          <w:highlight w:val="none"/>
          <w:lang w:val="en-US" w:eastAsia="zh-CN"/>
        </w:rPr>
        <w:t>我市2024年财政预算编制继续遵循“稳中有进，稳中提质，突出重点，量入为出”四大原则。收入方面：根据省、市宏观经济形势，合理安排收入增长。支出方面：坚持政府带头过紧日子的要求，严格控制一般性支出、三公经费等支出，把有限财力用在刀刃上。持续深化部门预算管理改革，规范项目库管理。全面实施预算绩效管理，加强绩效评价结果应用，不断建立完善标准科学、规范透明、约束有力的预算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lang w:eastAsia="zh-CN"/>
        </w:rPr>
        <w:t>综合考虑</w:t>
      </w: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年收入增减因素和各方面需求变化，结合我市实际，编制了202</w:t>
      </w:r>
      <w:r>
        <w:rPr>
          <w:rFonts w:hint="eastAsia" w:ascii="仿宋_GB2312" w:hAnsi="宋体" w:eastAsia="仿宋_GB2312"/>
          <w:highlight w:val="none"/>
          <w:lang w:val="en-US" w:eastAsia="zh-CN"/>
        </w:rPr>
        <w:t>4</w:t>
      </w:r>
      <w:r>
        <w:rPr>
          <w:rFonts w:hint="eastAsia" w:ascii="仿宋_GB2312" w:hAnsi="宋体" w:eastAsia="仿宋_GB2312"/>
          <w:highlight w:val="none"/>
        </w:rPr>
        <w:t>年财政预算草案。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highlight w:val="none"/>
        </w:rPr>
      </w:pPr>
      <w:r>
        <w:rPr>
          <w:rFonts w:hint="eastAsia" w:ascii="楷体_GB2312" w:hAnsi="宋体" w:eastAsia="楷体_GB2312"/>
          <w:b/>
          <w:highlight w:val="none"/>
        </w:rPr>
        <w:t>（一）一般公共预算收支安排情况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b/>
          <w:highlight w:val="none"/>
        </w:rPr>
      </w:pPr>
      <w:r>
        <w:rPr>
          <w:rFonts w:hint="eastAsia" w:ascii="仿宋_GB2312" w:hAnsi="宋体" w:eastAsia="仿宋_GB2312"/>
          <w:b/>
          <w:highlight w:val="none"/>
        </w:rPr>
        <w:t>1.一般公共预算收入安排情况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年，全市财政总收入预计</w:t>
      </w:r>
      <w:r>
        <w:rPr>
          <w:rFonts w:hint="eastAsia" w:ascii="仿宋_GB2312" w:hAnsi="宋体" w:eastAsia="仿宋_GB2312"/>
          <w:highlight w:val="none"/>
          <w:lang w:val="en-US" w:eastAsia="zh-CN"/>
        </w:rPr>
        <w:t>63.87</w:t>
      </w:r>
      <w:r>
        <w:rPr>
          <w:rFonts w:hint="eastAsia" w:ascii="仿宋_GB2312" w:hAnsi="宋体" w:eastAsia="仿宋_GB2312"/>
          <w:highlight w:val="none"/>
        </w:rPr>
        <w:t>亿元，比上年收入执行数增长</w:t>
      </w:r>
      <w:r>
        <w:rPr>
          <w:rFonts w:hint="eastAsia" w:ascii="仿宋_GB2312" w:hAnsi="宋体" w:eastAsia="仿宋_GB2312"/>
          <w:highlight w:val="none"/>
          <w:lang w:val="en-US" w:eastAsia="zh-CN"/>
        </w:rPr>
        <w:t>1.8</w:t>
      </w:r>
      <w:r>
        <w:rPr>
          <w:rFonts w:hint="eastAsia" w:ascii="仿宋_GB2312" w:hAnsi="宋体" w:eastAsia="仿宋_GB2312"/>
          <w:highlight w:val="none"/>
        </w:rPr>
        <w:t>%，税比</w:t>
      </w:r>
      <w:r>
        <w:rPr>
          <w:rFonts w:hint="eastAsia" w:ascii="仿宋_GB2312" w:hAnsi="宋体" w:eastAsia="仿宋_GB2312"/>
          <w:highlight w:val="none"/>
          <w:lang w:val="en-US" w:eastAsia="zh-CN"/>
        </w:rPr>
        <w:t>93.7</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 w:eastAsia="仿宋_GB2312" w:cs="宋体"/>
          <w:kern w:val="0"/>
          <w:highlight w:val="none"/>
        </w:rPr>
      </w:pPr>
      <w:r>
        <w:rPr>
          <w:rFonts w:hint="eastAsia" w:ascii="仿宋_GB2312" w:hAnsi="仿宋" w:eastAsia="仿宋_GB2312" w:cs="宋体"/>
          <w:kern w:val="0"/>
          <w:highlight w:val="none"/>
        </w:rPr>
        <w:t>分收入级次完成情况：一般公共预算收入预计完成</w:t>
      </w:r>
      <w:r>
        <w:rPr>
          <w:rFonts w:hint="eastAsia" w:ascii="仿宋_GB2312" w:hAnsi="仿宋" w:eastAsia="仿宋_GB2312" w:cs="宋体"/>
          <w:kern w:val="0"/>
          <w:highlight w:val="none"/>
          <w:lang w:val="en-US" w:eastAsia="zh-CN"/>
        </w:rPr>
        <w:t>249,600</w:t>
      </w:r>
      <w:r>
        <w:rPr>
          <w:rFonts w:hint="eastAsia" w:ascii="仿宋_GB2312" w:hAnsi="仿宋" w:eastAsia="仿宋_GB2312" w:cs="宋体"/>
          <w:kern w:val="0"/>
          <w:highlight w:val="none"/>
        </w:rPr>
        <w:t>万元</w:t>
      </w:r>
      <w:r>
        <w:rPr>
          <w:rFonts w:hint="eastAsia" w:ascii="仿宋_GB2312" w:hAnsi="仿宋" w:eastAsia="仿宋_GB2312" w:cs="宋体"/>
          <w:kern w:val="0"/>
          <w:highlight w:val="none"/>
          <w:lang w:eastAsia="zh-CN"/>
        </w:rPr>
        <w:t>，比上年执行数增长</w:t>
      </w:r>
      <w:r>
        <w:rPr>
          <w:rFonts w:hint="eastAsia" w:ascii="仿宋_GB2312" w:hAnsi="仿宋" w:eastAsia="仿宋_GB2312" w:cs="宋体"/>
          <w:kern w:val="0"/>
          <w:highlight w:val="none"/>
          <w:lang w:val="en-US" w:eastAsia="zh-CN"/>
        </w:rPr>
        <w:t>3.6%</w:t>
      </w:r>
      <w:r>
        <w:rPr>
          <w:rFonts w:hint="eastAsia" w:ascii="仿宋_GB2312" w:hAnsi="仿宋" w:eastAsia="仿宋_GB2312" w:cs="宋体"/>
          <w:kern w:val="0"/>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none"/>
        </w:rPr>
      </w:pPr>
      <w:r>
        <w:rPr>
          <w:rFonts w:hint="eastAsia" w:ascii="仿宋_GB2312" w:hAnsi="宋体" w:eastAsia="仿宋_GB2312"/>
          <w:bCs/>
          <w:highlight w:val="none"/>
        </w:rPr>
        <w:t>一般公共预算收入</w:t>
      </w:r>
      <w:r>
        <w:rPr>
          <w:rFonts w:hint="eastAsia" w:ascii="仿宋_GB2312" w:hAnsi="宋体" w:eastAsia="仿宋_GB2312"/>
          <w:highlight w:val="none"/>
        </w:rPr>
        <w:t>主要预计情况是：</w:t>
      </w:r>
      <w:r>
        <w:rPr>
          <w:rFonts w:hint="eastAsia" w:ascii="仿宋_GB2312" w:hAnsi="宋体" w:eastAsia="仿宋_GB2312"/>
          <w:bCs/>
          <w:highlight w:val="none"/>
        </w:rPr>
        <w:t>税收收入</w:t>
      </w:r>
      <w:r>
        <w:rPr>
          <w:rFonts w:hint="eastAsia" w:ascii="仿宋_GB2312" w:hAnsi="宋体" w:eastAsia="仿宋_GB2312"/>
          <w:highlight w:val="none"/>
          <w:lang w:val="en-US" w:eastAsia="zh-CN"/>
        </w:rPr>
        <w:t>209,600</w:t>
      </w:r>
      <w:r>
        <w:rPr>
          <w:rFonts w:hint="eastAsia" w:ascii="仿宋_GB2312" w:hAnsi="宋体" w:eastAsia="仿宋_GB2312"/>
          <w:bCs/>
          <w:highlight w:val="none"/>
        </w:rPr>
        <w:t>万元</w:t>
      </w:r>
      <w:r>
        <w:rPr>
          <w:rFonts w:hint="eastAsia" w:ascii="仿宋_GB2312" w:hAnsi="宋体" w:eastAsia="仿宋_GB2312"/>
          <w:highlight w:val="none"/>
        </w:rPr>
        <w:t>，其中：增值税</w:t>
      </w:r>
      <w:r>
        <w:rPr>
          <w:rFonts w:hint="eastAsia" w:ascii="仿宋_GB2312" w:hAnsi="宋体" w:eastAsia="仿宋_GB2312"/>
          <w:highlight w:val="none"/>
          <w:lang w:val="en-US" w:eastAsia="zh-CN"/>
        </w:rPr>
        <w:t>61,518</w:t>
      </w:r>
      <w:r>
        <w:rPr>
          <w:rFonts w:hint="eastAsia" w:ascii="仿宋_GB2312" w:hAnsi="宋体" w:eastAsia="仿宋_GB2312"/>
          <w:highlight w:val="none"/>
        </w:rPr>
        <w:t>万元、企业所得税</w:t>
      </w:r>
      <w:r>
        <w:rPr>
          <w:rFonts w:hint="eastAsia" w:ascii="仿宋_GB2312" w:hAnsi="宋体" w:eastAsia="仿宋_GB2312"/>
          <w:highlight w:val="none"/>
          <w:lang w:val="en-US" w:eastAsia="zh-CN"/>
        </w:rPr>
        <w:t>14,510</w:t>
      </w:r>
      <w:r>
        <w:rPr>
          <w:rFonts w:hint="eastAsia" w:ascii="仿宋_GB2312" w:hAnsi="宋体" w:eastAsia="仿宋_GB2312"/>
          <w:highlight w:val="none"/>
        </w:rPr>
        <w:t>万元、个人所得税</w:t>
      </w:r>
      <w:r>
        <w:rPr>
          <w:rFonts w:hint="eastAsia" w:ascii="仿宋_GB2312" w:hAnsi="宋体" w:eastAsia="仿宋_GB2312"/>
          <w:highlight w:val="none"/>
          <w:lang w:val="en-US" w:eastAsia="zh-CN"/>
        </w:rPr>
        <w:t>92,289</w:t>
      </w:r>
      <w:r>
        <w:rPr>
          <w:rFonts w:hint="eastAsia" w:ascii="仿宋_GB2312" w:hAnsi="宋体" w:eastAsia="仿宋_GB2312"/>
          <w:highlight w:val="none"/>
        </w:rPr>
        <w:t>万元、</w:t>
      </w:r>
      <w:r>
        <w:rPr>
          <w:rFonts w:hint="eastAsia" w:ascii="仿宋_GB2312" w:hAnsi="宋体" w:eastAsia="仿宋_GB2312"/>
          <w:highlight w:val="none"/>
          <w:lang w:eastAsia="zh-CN"/>
        </w:rPr>
        <w:t>城市维护建设税</w:t>
      </w:r>
      <w:r>
        <w:rPr>
          <w:rFonts w:hint="eastAsia" w:ascii="仿宋_GB2312" w:hAnsi="宋体" w:eastAsia="仿宋_GB2312"/>
          <w:highlight w:val="none"/>
          <w:lang w:val="en-US" w:eastAsia="zh-CN"/>
        </w:rPr>
        <w:t>10,760万元、房产税4,300万元、印花税2,050万元、城镇土地使用税7,100万元、土地增值税5,043万元、车船税700万元、耕地占用税2,950万元、契税8,350万元、环境保护税30万元</w:t>
      </w:r>
      <w:r>
        <w:rPr>
          <w:rFonts w:hint="eastAsia" w:ascii="仿宋_GB2312" w:hAnsi="宋体" w:eastAsia="仿宋_GB2312"/>
          <w:highlight w:val="none"/>
        </w:rPr>
        <w:t>。</w:t>
      </w:r>
      <w:r>
        <w:rPr>
          <w:rFonts w:hint="eastAsia" w:ascii="仿宋_GB2312" w:hAnsi="宋体" w:eastAsia="仿宋_GB2312"/>
          <w:bCs/>
          <w:highlight w:val="none"/>
        </w:rPr>
        <w:t>非税收入</w:t>
      </w:r>
      <w:r>
        <w:rPr>
          <w:rFonts w:hint="eastAsia" w:ascii="仿宋_GB2312" w:hAnsi="宋体" w:eastAsia="仿宋_GB2312"/>
          <w:bCs/>
          <w:highlight w:val="none"/>
          <w:lang w:val="en-US" w:eastAsia="zh-CN"/>
        </w:rPr>
        <w:t>4</w:t>
      </w:r>
      <w:r>
        <w:rPr>
          <w:rFonts w:hint="eastAsia" w:ascii="仿宋_GB2312" w:hAnsi="宋体" w:eastAsia="仿宋_GB2312"/>
          <w:bCs/>
          <w:highlight w:val="none"/>
        </w:rPr>
        <w:t>0,000万元，</w:t>
      </w:r>
      <w:r>
        <w:rPr>
          <w:rFonts w:hint="eastAsia" w:ascii="仿宋_GB2312" w:hAnsi="宋体" w:eastAsia="仿宋_GB2312"/>
          <w:highlight w:val="none"/>
        </w:rPr>
        <w:t>其中：国有资源（资产）有偿使用收入</w:t>
      </w:r>
      <w:r>
        <w:rPr>
          <w:rFonts w:hint="eastAsia" w:ascii="仿宋_GB2312" w:hAnsi="宋体" w:eastAsia="仿宋_GB2312"/>
          <w:highlight w:val="none"/>
          <w:lang w:val="en-US" w:eastAsia="zh-CN"/>
        </w:rPr>
        <w:t>11,300</w:t>
      </w:r>
      <w:r>
        <w:rPr>
          <w:rFonts w:hint="eastAsia" w:ascii="仿宋_GB2312" w:hAnsi="宋体" w:eastAsia="仿宋_GB2312"/>
          <w:highlight w:val="none"/>
        </w:rPr>
        <w:t>万元、国有资本经营收入</w:t>
      </w:r>
      <w:r>
        <w:rPr>
          <w:rFonts w:hint="eastAsia" w:ascii="仿宋_GB2312" w:hAnsi="宋体" w:eastAsia="仿宋_GB2312"/>
          <w:highlight w:val="none"/>
          <w:lang w:val="en-US" w:eastAsia="zh-CN"/>
        </w:rPr>
        <w:t>10,850</w:t>
      </w:r>
      <w:r>
        <w:rPr>
          <w:rFonts w:hint="eastAsia" w:ascii="仿宋_GB2312" w:hAnsi="宋体" w:eastAsia="仿宋_GB2312"/>
          <w:highlight w:val="none"/>
        </w:rPr>
        <w:t>万元、行政事业性收费</w:t>
      </w:r>
      <w:r>
        <w:rPr>
          <w:rFonts w:hint="eastAsia" w:ascii="仿宋_GB2312" w:hAnsi="宋体" w:eastAsia="仿宋_GB2312"/>
          <w:highlight w:val="none"/>
          <w:lang w:val="en-US" w:eastAsia="zh-CN"/>
        </w:rPr>
        <w:t>5,000</w:t>
      </w:r>
      <w:r>
        <w:rPr>
          <w:rFonts w:hint="eastAsia" w:ascii="仿宋_GB2312" w:hAnsi="宋体" w:eastAsia="仿宋_GB2312"/>
          <w:highlight w:val="none"/>
        </w:rPr>
        <w:t>万元、罚没收入</w:t>
      </w:r>
      <w:r>
        <w:rPr>
          <w:rFonts w:hint="eastAsia" w:ascii="仿宋_GB2312" w:hAnsi="宋体" w:eastAsia="仿宋_GB2312"/>
          <w:highlight w:val="none"/>
          <w:lang w:val="en-US" w:eastAsia="zh-CN"/>
        </w:rPr>
        <w:t>7,030</w:t>
      </w:r>
      <w:r>
        <w:rPr>
          <w:rFonts w:hint="eastAsia" w:ascii="仿宋_GB2312" w:hAnsi="宋体" w:eastAsia="仿宋_GB2312"/>
          <w:highlight w:val="none"/>
        </w:rPr>
        <w:t>万元、专项收入</w:t>
      </w:r>
      <w:r>
        <w:rPr>
          <w:rFonts w:hint="eastAsia" w:ascii="仿宋_GB2312" w:hAnsi="宋体" w:eastAsia="仿宋_GB2312"/>
          <w:highlight w:val="none"/>
          <w:lang w:val="en-US" w:eastAsia="zh-CN"/>
        </w:rPr>
        <w:t>5,000</w:t>
      </w:r>
      <w:r>
        <w:rPr>
          <w:rFonts w:hint="eastAsia" w:ascii="仿宋_GB2312" w:hAnsi="宋体" w:eastAsia="仿宋_GB2312"/>
          <w:highlight w:val="none"/>
        </w:rPr>
        <w:t>万元</w:t>
      </w:r>
      <w:r>
        <w:rPr>
          <w:rFonts w:hint="eastAsia" w:ascii="仿宋_GB2312" w:hAnsi="宋体" w:eastAsia="仿宋_GB2312"/>
          <w:highlight w:val="none"/>
          <w:lang w:eastAsia="zh-CN"/>
        </w:rPr>
        <w:t>、其他收入</w:t>
      </w:r>
      <w:r>
        <w:rPr>
          <w:rFonts w:hint="eastAsia" w:ascii="仿宋_GB2312" w:hAnsi="宋体" w:eastAsia="仿宋_GB2312"/>
          <w:highlight w:val="none"/>
          <w:lang w:val="en-US" w:eastAsia="zh-CN"/>
        </w:rPr>
        <w:t>700万元、</w:t>
      </w:r>
      <w:r>
        <w:rPr>
          <w:rFonts w:hint="eastAsia" w:ascii="仿宋_GB2312" w:hAnsi="宋体" w:eastAsia="仿宋_GB2312"/>
          <w:highlight w:val="none"/>
          <w:lang w:eastAsia="zh-CN"/>
        </w:rPr>
        <w:t>政府住房基金收入</w:t>
      </w:r>
      <w:r>
        <w:rPr>
          <w:rFonts w:hint="eastAsia" w:ascii="仿宋_GB2312" w:hAnsi="宋体" w:eastAsia="仿宋_GB2312"/>
          <w:highlight w:val="none"/>
          <w:lang w:val="en-US" w:eastAsia="zh-CN"/>
        </w:rPr>
        <w:t>120万元</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仿宋_GB2312" w:hAnsi="宋体" w:eastAsia="仿宋_GB2312"/>
          <w:b/>
          <w:highlight w:val="none"/>
        </w:rPr>
      </w:pPr>
      <w:r>
        <w:rPr>
          <w:rFonts w:hint="eastAsia" w:ascii="仿宋_GB2312" w:hAnsi="宋体" w:eastAsia="仿宋_GB2312"/>
          <w:b/>
          <w:highlight w:val="none"/>
        </w:rPr>
        <w:t>2.一般公共预算支出安排情况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Times New Roman"/>
          <w:highlight w:val="none"/>
          <w:lang w:val="en-US" w:eastAsia="zh-CN"/>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年一般公共预算收入</w:t>
      </w:r>
      <w:r>
        <w:rPr>
          <w:rFonts w:hint="eastAsia" w:ascii="仿宋_GB2312" w:hAnsi="仿宋" w:eastAsia="仿宋_GB2312" w:cs="宋体"/>
          <w:kern w:val="0"/>
          <w:highlight w:val="none"/>
          <w:lang w:val="en-US" w:eastAsia="zh-CN"/>
        </w:rPr>
        <w:t>249,600</w:t>
      </w:r>
      <w:r>
        <w:rPr>
          <w:rFonts w:hint="eastAsia" w:ascii="仿宋_GB2312" w:hAnsi="宋体" w:eastAsia="仿宋_GB2312"/>
          <w:highlight w:val="none"/>
        </w:rPr>
        <w:t>万元，加上上级补助收入</w:t>
      </w:r>
      <w:r>
        <w:rPr>
          <w:rFonts w:hint="eastAsia" w:ascii="仿宋_GB2312" w:hAnsi="宋体" w:eastAsia="仿宋_GB2312"/>
          <w:highlight w:val="none"/>
          <w:lang w:val="en-US" w:eastAsia="zh-CN"/>
        </w:rPr>
        <w:t>55,445</w:t>
      </w:r>
      <w:r>
        <w:rPr>
          <w:rFonts w:hint="eastAsia" w:ascii="仿宋_GB2312" w:hAnsi="宋体" w:eastAsia="仿宋_GB2312"/>
          <w:highlight w:val="none"/>
        </w:rPr>
        <w:t>万元、地方政府一般债务转贷收入</w:t>
      </w:r>
      <w:r>
        <w:rPr>
          <w:rFonts w:hint="eastAsia" w:ascii="仿宋_GB2312" w:hAnsi="宋体" w:eastAsia="仿宋_GB2312"/>
          <w:highlight w:val="none"/>
          <w:lang w:val="en-US" w:eastAsia="zh-CN"/>
        </w:rPr>
        <w:t>12,000</w:t>
      </w:r>
      <w:r>
        <w:rPr>
          <w:rFonts w:hint="eastAsia" w:ascii="仿宋_GB2312" w:hAnsi="宋体" w:eastAsia="仿宋_GB2312"/>
          <w:highlight w:val="none"/>
        </w:rPr>
        <w:t>万元、</w:t>
      </w:r>
      <w:r>
        <w:rPr>
          <w:rFonts w:hint="eastAsia" w:ascii="仿宋_GB2312" w:hAnsi="宋体" w:eastAsia="仿宋_GB2312"/>
          <w:highlight w:val="none"/>
          <w:lang w:eastAsia="zh-CN"/>
        </w:rPr>
        <w:t>调入资金</w:t>
      </w:r>
      <w:r>
        <w:rPr>
          <w:rFonts w:hint="eastAsia" w:ascii="仿宋_GB2312" w:hAnsi="宋体" w:eastAsia="仿宋_GB2312"/>
          <w:highlight w:val="none"/>
          <w:lang w:val="en-US" w:eastAsia="zh-CN"/>
        </w:rPr>
        <w:t>10,100万元（从</w:t>
      </w:r>
      <w:r>
        <w:rPr>
          <w:rFonts w:hint="eastAsia" w:ascii="仿宋_GB2312" w:hAnsi="宋体" w:eastAsia="仿宋_GB2312"/>
          <w:highlight w:val="none"/>
        </w:rPr>
        <w:t>国有资本经营预算调入</w:t>
      </w:r>
      <w:r>
        <w:rPr>
          <w:rFonts w:hint="eastAsia" w:ascii="仿宋_GB2312" w:hAnsi="宋体" w:eastAsia="仿宋_GB2312"/>
          <w:highlight w:val="none"/>
          <w:lang w:val="en-US" w:eastAsia="zh-CN"/>
        </w:rPr>
        <w:t>100</w:t>
      </w:r>
      <w:r>
        <w:rPr>
          <w:rFonts w:hint="eastAsia" w:ascii="仿宋_GB2312" w:hAnsi="宋体" w:eastAsia="仿宋_GB2312"/>
          <w:highlight w:val="none"/>
        </w:rPr>
        <w:t>万元</w:t>
      </w:r>
      <w:r>
        <w:rPr>
          <w:rFonts w:hint="eastAsia" w:ascii="仿宋_GB2312" w:hAnsi="宋体" w:eastAsia="仿宋_GB2312"/>
          <w:highlight w:val="none"/>
          <w:lang w:eastAsia="zh-CN"/>
        </w:rPr>
        <w:t>，从其他资金调入</w:t>
      </w:r>
      <w:r>
        <w:rPr>
          <w:rFonts w:hint="eastAsia" w:ascii="仿宋_GB2312" w:hAnsi="宋体" w:eastAsia="仿宋_GB2312"/>
          <w:highlight w:val="none"/>
          <w:lang w:val="en-US" w:eastAsia="zh-CN"/>
        </w:rPr>
        <w:t>10,000万元），</w:t>
      </w:r>
      <w:r>
        <w:rPr>
          <w:rFonts w:hint="eastAsia" w:ascii="仿宋_GB2312" w:hAnsi="宋体" w:eastAsia="仿宋_GB2312"/>
          <w:highlight w:val="none"/>
        </w:rPr>
        <w:t>动用预算稳定调节基金</w:t>
      </w:r>
      <w:r>
        <w:rPr>
          <w:rFonts w:hint="eastAsia" w:ascii="仿宋_GB2312" w:hAnsi="宋体" w:eastAsia="仿宋_GB2312"/>
          <w:highlight w:val="none"/>
          <w:lang w:val="en-US" w:eastAsia="zh-CN"/>
        </w:rPr>
        <w:t>2,673</w:t>
      </w:r>
      <w:r>
        <w:rPr>
          <w:rFonts w:hint="eastAsia" w:ascii="仿宋_GB2312" w:hAnsi="宋体" w:eastAsia="仿宋_GB2312"/>
          <w:highlight w:val="none"/>
        </w:rPr>
        <w:t>万元及上年结</w:t>
      </w:r>
      <w:r>
        <w:rPr>
          <w:rFonts w:hint="eastAsia" w:ascii="仿宋_GB2312" w:hAnsi="宋体" w:eastAsia="仿宋_GB2312"/>
          <w:highlight w:val="none"/>
          <w:lang w:eastAsia="zh-CN"/>
        </w:rPr>
        <w:t>余</w:t>
      </w:r>
      <w:r>
        <w:rPr>
          <w:rFonts w:hint="eastAsia" w:ascii="仿宋_GB2312" w:hAnsi="宋体" w:eastAsia="仿宋_GB2312"/>
          <w:highlight w:val="none"/>
          <w:lang w:val="en-US" w:eastAsia="zh-CN"/>
        </w:rPr>
        <w:t>2,126</w:t>
      </w:r>
      <w:r>
        <w:rPr>
          <w:rFonts w:hint="eastAsia" w:ascii="仿宋_GB2312" w:hAnsi="宋体" w:eastAsia="仿宋_GB2312"/>
          <w:highlight w:val="none"/>
        </w:rPr>
        <w:t>万元，减去预计上解支出</w:t>
      </w:r>
      <w:r>
        <w:rPr>
          <w:rFonts w:hint="eastAsia" w:ascii="仿宋_GB2312" w:hAnsi="宋体" w:eastAsia="仿宋_GB2312"/>
          <w:highlight w:val="none"/>
          <w:lang w:val="en-US" w:eastAsia="zh-CN"/>
        </w:rPr>
        <w:t>4,200</w:t>
      </w:r>
      <w:r>
        <w:rPr>
          <w:rFonts w:hint="eastAsia" w:ascii="仿宋_GB2312" w:hAnsi="宋体" w:eastAsia="仿宋_GB2312"/>
          <w:highlight w:val="none"/>
        </w:rPr>
        <w:t>万元</w:t>
      </w:r>
      <w:r>
        <w:rPr>
          <w:rFonts w:hint="eastAsia" w:ascii="仿宋_GB2312" w:hAnsi="宋体" w:eastAsia="仿宋_GB2312"/>
          <w:highlight w:val="none"/>
          <w:lang w:eastAsia="zh-CN"/>
        </w:rPr>
        <w:t>，</w:t>
      </w:r>
      <w:r>
        <w:rPr>
          <w:rFonts w:hint="eastAsia" w:ascii="仿宋_GB2312" w:eastAsia="仿宋_GB2312"/>
          <w:highlight w:val="none"/>
        </w:rPr>
        <w:t>地方政府一般债务还本支出</w:t>
      </w:r>
      <w:r>
        <w:rPr>
          <w:rFonts w:hint="eastAsia" w:ascii="仿宋_GB2312" w:eastAsia="仿宋_GB2312"/>
          <w:highlight w:val="none"/>
          <w:lang w:val="en-US" w:eastAsia="zh-CN"/>
        </w:rPr>
        <w:t>5,253</w:t>
      </w:r>
      <w:r>
        <w:rPr>
          <w:rFonts w:hint="eastAsia" w:ascii="仿宋_GB2312" w:eastAsia="仿宋_GB2312"/>
          <w:highlight w:val="none"/>
        </w:rPr>
        <w:t>万元</w:t>
      </w:r>
      <w:r>
        <w:rPr>
          <w:rFonts w:hint="eastAsia" w:ascii="仿宋_GB2312" w:hAnsi="宋体" w:eastAsia="仿宋_GB2312"/>
          <w:highlight w:val="none"/>
        </w:rPr>
        <w:t>，预算财力为</w:t>
      </w:r>
      <w:r>
        <w:rPr>
          <w:rFonts w:hint="eastAsia" w:ascii="仿宋_GB2312" w:hAnsi="宋体" w:eastAsia="仿宋_GB2312"/>
          <w:highlight w:val="none"/>
          <w:lang w:val="en-US" w:eastAsia="zh-CN"/>
        </w:rPr>
        <w:t>322,491</w:t>
      </w:r>
      <w:r>
        <w:rPr>
          <w:rFonts w:hint="eastAsia" w:ascii="仿宋_GB2312" w:hAnsi="宋体" w:eastAsia="仿宋_GB2312"/>
          <w:highlight w:val="none"/>
        </w:rPr>
        <w:t>万元</w:t>
      </w:r>
      <w:r>
        <w:rPr>
          <w:rFonts w:hint="eastAsia" w:ascii="仿宋_GB2312" w:hAnsi="宋体" w:eastAsia="仿宋_GB2312"/>
          <w:highlight w:val="none"/>
          <w:lang w:eastAsia="zh-CN"/>
        </w:rPr>
        <w:t>。</w:t>
      </w: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年预算支出预计</w:t>
      </w:r>
      <w:r>
        <w:rPr>
          <w:rFonts w:hint="eastAsia" w:ascii="仿宋_GB2312" w:hAnsi="宋体" w:eastAsia="仿宋_GB2312"/>
          <w:highlight w:val="none"/>
          <w:lang w:eastAsia="zh-CN"/>
        </w:rPr>
        <w:t>可</w:t>
      </w:r>
      <w:r>
        <w:rPr>
          <w:rFonts w:hint="eastAsia" w:ascii="仿宋_GB2312" w:hAnsi="宋体" w:eastAsia="仿宋_GB2312"/>
          <w:highlight w:val="none"/>
        </w:rPr>
        <w:t>安排</w:t>
      </w:r>
      <w:r>
        <w:rPr>
          <w:rFonts w:hint="eastAsia" w:ascii="仿宋_GB2312" w:hAnsi="宋体" w:eastAsia="仿宋_GB2312"/>
          <w:highlight w:val="none"/>
          <w:lang w:val="en-US" w:eastAsia="zh-CN"/>
        </w:rPr>
        <w:t>322,491</w:t>
      </w:r>
      <w:r>
        <w:rPr>
          <w:rFonts w:hint="eastAsia" w:ascii="仿宋_GB2312" w:hAnsi="宋体" w:eastAsia="仿宋_GB2312"/>
          <w:highlight w:val="none"/>
        </w:rPr>
        <w:t>万元，预算收支平衡。</w:t>
      </w:r>
      <w:r>
        <w:rPr>
          <w:rFonts w:hint="eastAsia" w:ascii="仿宋_GB2312" w:hAnsi="宋体" w:eastAsia="仿宋_GB2312"/>
          <w:highlight w:val="none"/>
          <w:lang w:eastAsia="zh-CN"/>
        </w:rPr>
        <w:t>需要说明的是，</w:t>
      </w:r>
      <w:r>
        <w:rPr>
          <w:rFonts w:hint="eastAsia" w:ascii="仿宋_GB2312" w:hAnsi="宋体" w:eastAsia="仿宋_GB2312"/>
          <w:highlight w:val="none"/>
          <w:lang w:val="en-US" w:eastAsia="zh-CN"/>
        </w:rPr>
        <w:t>上级转移支付资金只做提前下达部分</w:t>
      </w:r>
      <w:r>
        <w:rPr>
          <w:rFonts w:hint="eastAsia" w:ascii="仿宋_GB2312" w:hAnsi="宋体" w:eastAsia="仿宋_GB2312" w:cs="Times New Roman"/>
          <w:highlight w:val="none"/>
        </w:rPr>
        <w:t>，</w:t>
      </w:r>
      <w:r>
        <w:rPr>
          <w:rFonts w:hint="eastAsia" w:ascii="仿宋_GB2312" w:hAnsi="宋体" w:eastAsia="仿宋_GB2312" w:cs="Times New Roman"/>
          <w:highlight w:val="none"/>
          <w:lang w:eastAsia="zh-CN"/>
        </w:rPr>
        <w:t>未收到的</w:t>
      </w:r>
      <w:r>
        <w:rPr>
          <w:rFonts w:hint="eastAsia" w:ascii="仿宋_GB2312" w:hAnsi="宋体" w:eastAsia="仿宋_GB2312" w:cs="Times New Roman"/>
          <w:highlight w:val="none"/>
        </w:rPr>
        <w:t>暂未列入年初预算。分科目安排如下：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themeColor="text1"/>
          <w:highlight w:val="none"/>
          <w14:textFill>
            <w14:solidFill>
              <w14:schemeClr w14:val="tx1"/>
            </w14:solidFill>
          </w14:textFill>
        </w:rPr>
      </w:pPr>
      <w:r>
        <w:rPr>
          <w:rFonts w:hint="eastAsia" w:ascii="仿宋_GB2312" w:hAnsi="宋体" w:eastAsia="仿宋_GB2312"/>
          <w:color w:val="000000" w:themeColor="text1"/>
          <w:highlight w:val="none"/>
          <w14:textFill>
            <w14:solidFill>
              <w14:schemeClr w14:val="tx1"/>
            </w14:solidFill>
          </w14:textFill>
        </w:rPr>
        <w:t>主要支出项目安排情况是：</w:t>
      </w:r>
      <w:r>
        <w:rPr>
          <w:rFonts w:hint="eastAsia" w:ascii="仿宋_GB2312" w:eastAsia="仿宋_GB2312"/>
          <w:color w:val="000000" w:themeColor="text1"/>
          <w:highlight w:val="none"/>
          <w14:textFill>
            <w14:solidFill>
              <w14:schemeClr w14:val="tx1"/>
            </w14:solidFill>
          </w14:textFill>
        </w:rPr>
        <w:t>一般公共服务支出</w:t>
      </w:r>
      <w:r>
        <w:rPr>
          <w:rFonts w:hint="eastAsia" w:ascii="仿宋_GB2312" w:hAnsi="宋体" w:eastAsia="仿宋_GB2312"/>
          <w:color w:val="000000" w:themeColor="text1"/>
          <w:highlight w:val="none"/>
          <w:lang w:val="en-US" w:eastAsia="zh-CN"/>
          <w14:textFill>
            <w14:solidFill>
              <w14:schemeClr w14:val="tx1"/>
            </w14:solidFill>
          </w14:textFill>
        </w:rPr>
        <w:t>24,300</w:t>
      </w:r>
      <w:r>
        <w:rPr>
          <w:rFonts w:hint="eastAsia" w:ascii="仿宋_GB2312" w:eastAsia="仿宋_GB2312"/>
          <w:color w:val="000000" w:themeColor="text1"/>
          <w:highlight w:val="none"/>
          <w14:textFill>
            <w14:solidFill>
              <w14:schemeClr w14:val="tx1"/>
            </w14:solidFill>
          </w14:textFill>
        </w:rPr>
        <w:t>万元；国防支出</w:t>
      </w:r>
      <w:r>
        <w:rPr>
          <w:rFonts w:hint="eastAsia" w:ascii="仿宋_GB2312" w:eastAsia="仿宋_GB2312"/>
          <w:color w:val="000000" w:themeColor="text1"/>
          <w:highlight w:val="none"/>
          <w:lang w:val="en-US" w:eastAsia="zh-CN"/>
          <w14:textFill>
            <w14:solidFill>
              <w14:schemeClr w14:val="tx1"/>
            </w14:solidFill>
          </w14:textFill>
        </w:rPr>
        <w:t>654</w:t>
      </w:r>
      <w:r>
        <w:rPr>
          <w:rFonts w:hint="eastAsia" w:ascii="仿宋_GB2312" w:eastAsia="仿宋_GB2312"/>
          <w:color w:val="000000" w:themeColor="text1"/>
          <w:highlight w:val="none"/>
          <w14:textFill>
            <w14:solidFill>
              <w14:schemeClr w14:val="tx1"/>
            </w14:solidFill>
          </w14:textFill>
        </w:rPr>
        <w:t>万元；公共安全支出</w:t>
      </w:r>
      <w:r>
        <w:rPr>
          <w:rFonts w:hint="eastAsia" w:ascii="仿宋_GB2312" w:eastAsia="仿宋_GB2312"/>
          <w:color w:val="000000" w:themeColor="text1"/>
          <w:highlight w:val="none"/>
          <w:lang w:val="en-US" w:eastAsia="zh-CN"/>
          <w14:textFill>
            <w14:solidFill>
              <w14:schemeClr w14:val="tx1"/>
            </w14:solidFill>
          </w14:textFill>
        </w:rPr>
        <w:t>7,535</w:t>
      </w:r>
      <w:r>
        <w:rPr>
          <w:rFonts w:hint="eastAsia" w:ascii="仿宋_GB2312" w:eastAsia="仿宋_GB2312"/>
          <w:color w:val="000000" w:themeColor="text1"/>
          <w:highlight w:val="none"/>
          <w14:textFill>
            <w14:solidFill>
              <w14:schemeClr w14:val="tx1"/>
            </w14:solidFill>
          </w14:textFill>
        </w:rPr>
        <w:t>万元；教育支出</w:t>
      </w:r>
      <w:r>
        <w:rPr>
          <w:rFonts w:hint="eastAsia" w:ascii="仿宋_GB2312" w:eastAsia="仿宋_GB2312"/>
          <w:color w:val="000000" w:themeColor="text1"/>
          <w:highlight w:val="none"/>
          <w:lang w:val="en-US" w:eastAsia="zh-CN"/>
          <w14:textFill>
            <w14:solidFill>
              <w14:schemeClr w14:val="tx1"/>
            </w14:solidFill>
          </w14:textFill>
        </w:rPr>
        <w:t>58,651</w:t>
      </w:r>
      <w:r>
        <w:rPr>
          <w:rFonts w:hint="eastAsia" w:ascii="仿宋_GB2312" w:eastAsia="仿宋_GB2312"/>
          <w:color w:val="000000" w:themeColor="text1"/>
          <w:highlight w:val="none"/>
          <w14:textFill>
            <w14:solidFill>
              <w14:schemeClr w14:val="tx1"/>
            </w14:solidFill>
          </w14:textFill>
        </w:rPr>
        <w:t>万元；科学技术支出</w:t>
      </w:r>
      <w:r>
        <w:rPr>
          <w:rFonts w:hint="eastAsia" w:ascii="仿宋_GB2312" w:hAnsi="宋体" w:eastAsia="仿宋_GB2312"/>
          <w:color w:val="000000" w:themeColor="text1"/>
          <w:highlight w:val="none"/>
          <w:lang w:val="en-US" w:eastAsia="zh-CN"/>
          <w14:textFill>
            <w14:solidFill>
              <w14:schemeClr w14:val="tx1"/>
            </w14:solidFill>
          </w14:textFill>
        </w:rPr>
        <w:t>14,137</w:t>
      </w:r>
      <w:r>
        <w:rPr>
          <w:rFonts w:hint="eastAsia" w:ascii="仿宋_GB2312" w:eastAsia="仿宋_GB2312"/>
          <w:color w:val="000000" w:themeColor="text1"/>
          <w:highlight w:val="none"/>
          <w14:textFill>
            <w14:solidFill>
              <w14:schemeClr w14:val="tx1"/>
            </w14:solidFill>
          </w14:textFill>
        </w:rPr>
        <w:t>万元；文化旅游体育与传媒支出</w:t>
      </w:r>
      <w:r>
        <w:rPr>
          <w:rFonts w:hint="eastAsia" w:ascii="仿宋_GB2312" w:hAnsi="宋体" w:eastAsia="仿宋_GB2312"/>
          <w:color w:val="000000" w:themeColor="text1"/>
          <w:highlight w:val="none"/>
          <w:lang w:val="en-US" w:eastAsia="zh-CN"/>
          <w14:textFill>
            <w14:solidFill>
              <w14:schemeClr w14:val="tx1"/>
            </w14:solidFill>
          </w14:textFill>
        </w:rPr>
        <w:t>10,655</w:t>
      </w:r>
      <w:r>
        <w:rPr>
          <w:rFonts w:hint="eastAsia" w:ascii="仿宋_GB2312" w:eastAsia="仿宋_GB2312"/>
          <w:color w:val="000000" w:themeColor="text1"/>
          <w:highlight w:val="none"/>
          <w14:textFill>
            <w14:solidFill>
              <w14:schemeClr w14:val="tx1"/>
            </w14:solidFill>
          </w14:textFill>
        </w:rPr>
        <w:t>万元；社会保障和就业支出</w:t>
      </w:r>
      <w:r>
        <w:rPr>
          <w:rFonts w:hint="eastAsia" w:ascii="仿宋_GB2312" w:hAnsi="宋体" w:eastAsia="仿宋_GB2312"/>
          <w:color w:val="000000" w:themeColor="text1"/>
          <w:highlight w:val="none"/>
          <w:lang w:val="en-US" w:eastAsia="zh-CN"/>
          <w14:textFill>
            <w14:solidFill>
              <w14:schemeClr w14:val="tx1"/>
            </w14:solidFill>
          </w14:textFill>
        </w:rPr>
        <w:t>13,962</w:t>
      </w:r>
      <w:r>
        <w:rPr>
          <w:rFonts w:hint="eastAsia" w:ascii="仿宋_GB2312" w:eastAsia="仿宋_GB2312"/>
          <w:color w:val="000000" w:themeColor="text1"/>
          <w:highlight w:val="none"/>
          <w14:textFill>
            <w14:solidFill>
              <w14:schemeClr w14:val="tx1"/>
            </w14:solidFill>
          </w14:textFill>
        </w:rPr>
        <w:t>万元；卫生健康支出</w:t>
      </w:r>
      <w:r>
        <w:rPr>
          <w:rFonts w:hint="eastAsia" w:ascii="仿宋_GB2312" w:hAnsi="宋体" w:eastAsia="仿宋_GB2312"/>
          <w:color w:val="000000" w:themeColor="text1"/>
          <w:highlight w:val="none"/>
          <w:lang w:val="en-US" w:eastAsia="zh-CN"/>
          <w14:textFill>
            <w14:solidFill>
              <w14:schemeClr w14:val="tx1"/>
            </w14:solidFill>
          </w14:textFill>
        </w:rPr>
        <w:t>9,581</w:t>
      </w:r>
      <w:r>
        <w:rPr>
          <w:rFonts w:hint="eastAsia" w:ascii="仿宋_GB2312" w:eastAsia="仿宋_GB2312"/>
          <w:color w:val="000000" w:themeColor="text1"/>
          <w:highlight w:val="none"/>
          <w14:textFill>
            <w14:solidFill>
              <w14:schemeClr w14:val="tx1"/>
            </w14:solidFill>
          </w14:textFill>
        </w:rPr>
        <w:t>万元；节能环保支出</w:t>
      </w:r>
      <w:r>
        <w:rPr>
          <w:rFonts w:hint="eastAsia" w:ascii="仿宋_GB2312" w:hAnsi="宋体" w:eastAsia="仿宋_GB2312"/>
          <w:color w:val="000000" w:themeColor="text1"/>
          <w:highlight w:val="none"/>
          <w:lang w:val="en-US" w:eastAsia="zh-CN"/>
          <w14:textFill>
            <w14:solidFill>
              <w14:schemeClr w14:val="tx1"/>
            </w14:solidFill>
          </w14:textFill>
        </w:rPr>
        <w:t>16,359</w:t>
      </w:r>
      <w:r>
        <w:rPr>
          <w:rFonts w:hint="eastAsia" w:ascii="仿宋_GB2312" w:eastAsia="仿宋_GB2312"/>
          <w:color w:val="000000" w:themeColor="text1"/>
          <w:highlight w:val="none"/>
          <w14:textFill>
            <w14:solidFill>
              <w14:schemeClr w14:val="tx1"/>
            </w14:solidFill>
          </w14:textFill>
        </w:rPr>
        <w:t>万元；城乡社区支出</w:t>
      </w:r>
      <w:r>
        <w:rPr>
          <w:rFonts w:hint="eastAsia" w:ascii="仿宋_GB2312" w:hAnsi="宋体" w:eastAsia="仿宋_GB2312"/>
          <w:color w:val="000000" w:themeColor="text1"/>
          <w:highlight w:val="none"/>
          <w:lang w:val="en-US" w:eastAsia="zh-CN"/>
          <w14:textFill>
            <w14:solidFill>
              <w14:schemeClr w14:val="tx1"/>
            </w14:solidFill>
          </w14:textFill>
        </w:rPr>
        <w:t>122,011</w:t>
      </w:r>
      <w:r>
        <w:rPr>
          <w:rFonts w:hint="eastAsia" w:ascii="仿宋_GB2312" w:eastAsia="仿宋_GB2312"/>
          <w:color w:val="000000" w:themeColor="text1"/>
          <w:highlight w:val="none"/>
          <w14:textFill>
            <w14:solidFill>
              <w14:schemeClr w14:val="tx1"/>
            </w14:solidFill>
          </w14:textFill>
        </w:rPr>
        <w:t>万元；农林水支出</w:t>
      </w:r>
      <w:r>
        <w:rPr>
          <w:rFonts w:hint="eastAsia" w:ascii="仿宋_GB2312" w:hAnsi="宋体" w:eastAsia="仿宋_GB2312"/>
          <w:color w:val="000000" w:themeColor="text1"/>
          <w:highlight w:val="none"/>
          <w:lang w:val="en-US" w:eastAsia="zh-CN"/>
          <w14:textFill>
            <w14:solidFill>
              <w14:schemeClr w14:val="tx1"/>
            </w14:solidFill>
          </w14:textFill>
        </w:rPr>
        <w:t>22,048</w:t>
      </w:r>
      <w:r>
        <w:rPr>
          <w:rFonts w:hint="eastAsia" w:ascii="仿宋_GB2312" w:eastAsia="仿宋_GB2312"/>
          <w:color w:val="000000" w:themeColor="text1"/>
          <w:highlight w:val="none"/>
          <w14:textFill>
            <w14:solidFill>
              <w14:schemeClr w14:val="tx1"/>
            </w14:solidFill>
          </w14:textFill>
        </w:rPr>
        <w:t>万元；交通运输支出</w:t>
      </w:r>
      <w:r>
        <w:rPr>
          <w:rFonts w:hint="eastAsia" w:ascii="仿宋_GB2312" w:hAnsi="宋体" w:eastAsia="仿宋_GB2312"/>
          <w:color w:val="000000" w:themeColor="text1"/>
          <w:highlight w:val="none"/>
          <w:lang w:val="en-US" w:eastAsia="zh-CN"/>
          <w14:textFill>
            <w14:solidFill>
              <w14:schemeClr w14:val="tx1"/>
            </w14:solidFill>
          </w14:textFill>
        </w:rPr>
        <w:t>1,680</w:t>
      </w:r>
      <w:r>
        <w:rPr>
          <w:rFonts w:hint="eastAsia" w:ascii="仿宋_GB2312" w:eastAsia="仿宋_GB2312"/>
          <w:color w:val="000000" w:themeColor="text1"/>
          <w:highlight w:val="none"/>
          <w14:textFill>
            <w14:solidFill>
              <w14:schemeClr w14:val="tx1"/>
            </w14:solidFill>
          </w14:textFill>
        </w:rPr>
        <w:t>万元；资源勘探信息等支出</w:t>
      </w:r>
      <w:r>
        <w:rPr>
          <w:rFonts w:hint="eastAsia" w:ascii="仿宋_GB2312" w:hAnsi="宋体" w:eastAsia="仿宋_GB2312"/>
          <w:color w:val="000000" w:themeColor="text1"/>
          <w:highlight w:val="none"/>
          <w:lang w:val="en-US" w:eastAsia="zh-CN"/>
          <w14:textFill>
            <w14:solidFill>
              <w14:schemeClr w14:val="tx1"/>
            </w14:solidFill>
          </w14:textFill>
        </w:rPr>
        <w:t>1,758</w:t>
      </w:r>
      <w:r>
        <w:rPr>
          <w:rFonts w:hint="eastAsia" w:ascii="仿宋_GB2312" w:eastAsia="仿宋_GB2312"/>
          <w:color w:val="000000" w:themeColor="text1"/>
          <w:highlight w:val="none"/>
          <w14:textFill>
            <w14:solidFill>
              <w14:schemeClr w14:val="tx1"/>
            </w14:solidFill>
          </w14:textFill>
        </w:rPr>
        <w:t>万元；商业服务业支出</w:t>
      </w:r>
      <w:r>
        <w:rPr>
          <w:rFonts w:hint="eastAsia" w:ascii="仿宋_GB2312" w:hAnsi="宋体" w:eastAsia="仿宋_GB2312"/>
          <w:color w:val="000000" w:themeColor="text1"/>
          <w:highlight w:val="none"/>
          <w:lang w:val="en-US" w:eastAsia="zh-CN"/>
          <w14:textFill>
            <w14:solidFill>
              <w14:schemeClr w14:val="tx1"/>
            </w14:solidFill>
          </w14:textFill>
        </w:rPr>
        <w:t>285</w:t>
      </w:r>
      <w:r>
        <w:rPr>
          <w:rFonts w:hint="eastAsia" w:ascii="仿宋_GB2312" w:eastAsia="仿宋_GB2312"/>
          <w:color w:val="000000" w:themeColor="text1"/>
          <w:highlight w:val="none"/>
          <w14:textFill>
            <w14:solidFill>
              <w14:schemeClr w14:val="tx1"/>
            </w14:solidFill>
          </w14:textFill>
        </w:rPr>
        <w:t>万元；自然资源海洋气象等支出</w:t>
      </w:r>
      <w:r>
        <w:rPr>
          <w:rFonts w:hint="eastAsia" w:ascii="仿宋_GB2312" w:eastAsia="仿宋_GB2312"/>
          <w:color w:val="000000" w:themeColor="text1"/>
          <w:highlight w:val="none"/>
          <w:lang w:val="en-US" w:eastAsia="zh-CN"/>
          <w14:textFill>
            <w14:solidFill>
              <w14:schemeClr w14:val="tx1"/>
            </w14:solidFill>
          </w14:textFill>
        </w:rPr>
        <w:t>1,556</w:t>
      </w:r>
      <w:r>
        <w:rPr>
          <w:rFonts w:hint="eastAsia" w:ascii="仿宋_GB2312" w:eastAsia="仿宋_GB2312"/>
          <w:color w:val="000000" w:themeColor="text1"/>
          <w:highlight w:val="none"/>
          <w14:textFill>
            <w14:solidFill>
              <w14:schemeClr w14:val="tx1"/>
            </w14:solidFill>
          </w14:textFill>
        </w:rPr>
        <w:t>万元；住房保障支出</w:t>
      </w:r>
      <w:r>
        <w:rPr>
          <w:rFonts w:hint="eastAsia" w:ascii="仿宋_GB2312" w:hAnsi="宋体" w:eastAsia="仿宋_GB2312"/>
          <w:color w:val="000000" w:themeColor="text1"/>
          <w:highlight w:val="none"/>
          <w:lang w:val="en-US" w:eastAsia="zh-CN"/>
          <w14:textFill>
            <w14:solidFill>
              <w14:schemeClr w14:val="tx1"/>
            </w14:solidFill>
          </w14:textFill>
        </w:rPr>
        <w:t>1,471</w:t>
      </w:r>
      <w:r>
        <w:rPr>
          <w:rFonts w:hint="eastAsia" w:ascii="仿宋_GB2312" w:eastAsia="仿宋_GB2312"/>
          <w:color w:val="000000" w:themeColor="text1"/>
          <w:highlight w:val="none"/>
          <w14:textFill>
            <w14:solidFill>
              <w14:schemeClr w14:val="tx1"/>
            </w14:solidFill>
          </w14:textFill>
        </w:rPr>
        <w:t>万元；粮油物资储备支出</w:t>
      </w:r>
      <w:r>
        <w:rPr>
          <w:rFonts w:hint="eastAsia" w:ascii="仿宋_GB2312" w:eastAsia="仿宋_GB2312"/>
          <w:color w:val="000000" w:themeColor="text1"/>
          <w:highlight w:val="none"/>
          <w:lang w:val="en-US" w:eastAsia="zh-CN"/>
          <w14:textFill>
            <w14:solidFill>
              <w14:schemeClr w14:val="tx1"/>
            </w14:solidFill>
          </w14:textFill>
        </w:rPr>
        <w:t>175</w:t>
      </w:r>
      <w:r>
        <w:rPr>
          <w:rFonts w:hint="eastAsia" w:ascii="仿宋_GB2312" w:eastAsia="仿宋_GB2312"/>
          <w:color w:val="000000" w:themeColor="text1"/>
          <w:highlight w:val="none"/>
          <w14:textFill>
            <w14:solidFill>
              <w14:schemeClr w14:val="tx1"/>
            </w14:solidFill>
          </w14:textFill>
        </w:rPr>
        <w:t>万元；灾害防治及应急管理支出</w:t>
      </w:r>
      <w:r>
        <w:rPr>
          <w:rFonts w:hint="eastAsia" w:ascii="仿宋_GB2312" w:eastAsia="仿宋_GB2312"/>
          <w:color w:val="000000" w:themeColor="text1"/>
          <w:highlight w:val="none"/>
          <w:lang w:val="en-US" w:eastAsia="zh-CN"/>
          <w14:textFill>
            <w14:solidFill>
              <w14:schemeClr w14:val="tx1"/>
            </w14:solidFill>
          </w14:textFill>
        </w:rPr>
        <w:t>2,570</w:t>
      </w:r>
      <w:r>
        <w:rPr>
          <w:rFonts w:hint="eastAsia" w:ascii="仿宋_GB2312" w:eastAsia="仿宋_GB2312"/>
          <w:color w:val="000000" w:themeColor="text1"/>
          <w:highlight w:val="none"/>
          <w14:textFill>
            <w14:solidFill>
              <w14:schemeClr w14:val="tx1"/>
            </w14:solidFill>
          </w14:textFill>
        </w:rPr>
        <w:t>万元；预备费</w:t>
      </w:r>
      <w:r>
        <w:rPr>
          <w:rFonts w:hint="eastAsia" w:ascii="仿宋_GB2312" w:eastAsia="仿宋_GB2312"/>
          <w:color w:val="000000" w:themeColor="text1"/>
          <w:highlight w:val="none"/>
          <w:lang w:val="en-US" w:eastAsia="zh-CN"/>
          <w14:textFill>
            <w14:solidFill>
              <w14:schemeClr w14:val="tx1"/>
            </w14:solidFill>
          </w14:textFill>
        </w:rPr>
        <w:t>4,000</w:t>
      </w:r>
      <w:r>
        <w:rPr>
          <w:rFonts w:hint="eastAsia" w:ascii="仿宋_GB2312" w:eastAsia="仿宋_GB2312"/>
          <w:color w:val="000000" w:themeColor="text1"/>
          <w:highlight w:val="none"/>
          <w14:textFill>
            <w14:solidFill>
              <w14:schemeClr w14:val="tx1"/>
            </w14:solidFill>
          </w14:textFill>
        </w:rPr>
        <w:t>万元；</w:t>
      </w:r>
      <w:r>
        <w:rPr>
          <w:rFonts w:hint="eastAsia" w:ascii="仿宋_GB2312" w:eastAsia="仿宋_GB2312"/>
          <w:color w:val="000000" w:themeColor="text1"/>
          <w:highlight w:val="none"/>
          <w:lang w:eastAsia="zh-CN"/>
          <w14:textFill>
            <w14:solidFill>
              <w14:schemeClr w14:val="tx1"/>
            </w14:solidFill>
          </w14:textFill>
        </w:rPr>
        <w:t>其他支出</w:t>
      </w:r>
      <w:r>
        <w:rPr>
          <w:rFonts w:hint="eastAsia" w:ascii="仿宋_GB2312" w:eastAsia="仿宋_GB2312"/>
          <w:color w:val="000000" w:themeColor="text1"/>
          <w:highlight w:val="none"/>
          <w:lang w:val="en-US" w:eastAsia="zh-CN"/>
          <w14:textFill>
            <w14:solidFill>
              <w14:schemeClr w14:val="tx1"/>
            </w14:solidFill>
          </w14:textFill>
        </w:rPr>
        <w:t>5万元；</w:t>
      </w:r>
      <w:r>
        <w:rPr>
          <w:rFonts w:hint="eastAsia" w:ascii="仿宋_GB2312" w:eastAsia="仿宋_GB2312"/>
          <w:color w:val="000000" w:themeColor="text1"/>
          <w:highlight w:val="none"/>
          <w14:textFill>
            <w14:solidFill>
              <w14:schemeClr w14:val="tx1"/>
            </w14:solidFill>
          </w14:textFill>
        </w:rPr>
        <w:t>债务付息支出</w:t>
      </w:r>
      <w:r>
        <w:rPr>
          <w:rFonts w:hint="eastAsia" w:ascii="仿宋_GB2312" w:eastAsia="仿宋_GB2312"/>
          <w:color w:val="000000" w:themeColor="text1"/>
          <w:highlight w:val="none"/>
          <w:lang w:val="en-US" w:eastAsia="zh-CN"/>
          <w14:textFill>
            <w14:solidFill>
              <w14:schemeClr w14:val="tx1"/>
            </w14:solidFill>
          </w14:textFill>
        </w:rPr>
        <w:t>9,048</w:t>
      </w:r>
      <w:r>
        <w:rPr>
          <w:rFonts w:hint="eastAsia" w:ascii="仿宋_GB2312" w:eastAsia="仿宋_GB2312"/>
          <w:color w:val="000000" w:themeColor="text1"/>
          <w:highlight w:val="none"/>
          <w14:textFill>
            <w14:solidFill>
              <w14:schemeClr w14:val="tx1"/>
            </w14:solidFill>
          </w14:textFill>
        </w:rPr>
        <w:t>万元；债务发行费用支出</w:t>
      </w:r>
      <w:r>
        <w:rPr>
          <w:rFonts w:hint="eastAsia" w:ascii="仿宋_GB2312" w:eastAsia="仿宋_GB2312"/>
          <w:color w:val="000000" w:themeColor="text1"/>
          <w:highlight w:val="none"/>
          <w:lang w:val="en-US" w:eastAsia="zh-CN"/>
          <w14:textFill>
            <w14:solidFill>
              <w14:schemeClr w14:val="tx1"/>
            </w14:solidFill>
          </w14:textFill>
        </w:rPr>
        <w:t>50</w:t>
      </w:r>
      <w:r>
        <w:rPr>
          <w:rFonts w:hint="eastAsia" w:ascii="仿宋_GB2312" w:eastAsia="仿宋_GB2312"/>
          <w:color w:val="000000" w:themeColor="text1"/>
          <w:highlight w:val="none"/>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highlight w:val="none"/>
        </w:rPr>
      </w:pPr>
      <w:r>
        <w:rPr>
          <w:rFonts w:hint="eastAsia" w:ascii="楷体_GB2312" w:hAnsi="宋体" w:eastAsia="楷体_GB2312"/>
          <w:b/>
          <w:highlight w:val="none"/>
        </w:rPr>
        <w:t>（二）政府性基金预算收支安排情况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_GB2312" w:hAnsi="宋体" w:eastAsia="仿宋_GB2312"/>
          <w:highlight w:val="yellow"/>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年政府性基金预算收入预计</w:t>
      </w:r>
      <w:r>
        <w:rPr>
          <w:rFonts w:hint="eastAsia" w:ascii="仿宋_GB2312" w:hAnsi="宋体" w:eastAsia="仿宋_GB2312"/>
          <w:highlight w:val="none"/>
          <w:lang w:val="en-US" w:eastAsia="zh-CN"/>
        </w:rPr>
        <w:t>142,074</w:t>
      </w:r>
      <w:r>
        <w:rPr>
          <w:rFonts w:hint="eastAsia" w:ascii="仿宋_GB2312" w:hAnsi="宋体" w:eastAsia="仿宋_GB2312"/>
          <w:highlight w:val="none"/>
        </w:rPr>
        <w:t>万元，其中：国有土地使用权出让收入</w:t>
      </w:r>
      <w:r>
        <w:rPr>
          <w:rFonts w:hint="eastAsia" w:ascii="仿宋_GB2312" w:hAnsi="宋体" w:eastAsia="仿宋_GB2312"/>
          <w:highlight w:val="none"/>
          <w:lang w:val="en-US" w:eastAsia="zh-CN"/>
        </w:rPr>
        <w:t>127,598</w:t>
      </w:r>
      <w:r>
        <w:rPr>
          <w:rFonts w:hint="eastAsia" w:ascii="仿宋_GB2312" w:hAnsi="宋体" w:eastAsia="仿宋_GB2312"/>
          <w:highlight w:val="none"/>
        </w:rPr>
        <w:t>万元、彩票公益金收入</w:t>
      </w:r>
      <w:r>
        <w:rPr>
          <w:rFonts w:hint="eastAsia" w:ascii="仿宋_GB2312" w:hAnsi="宋体" w:eastAsia="仿宋_GB2312"/>
          <w:highlight w:val="none"/>
          <w:lang w:val="en-US" w:eastAsia="zh-CN"/>
        </w:rPr>
        <w:t>200</w:t>
      </w:r>
      <w:r>
        <w:rPr>
          <w:rFonts w:hint="eastAsia" w:ascii="仿宋_GB2312" w:hAnsi="宋体" w:eastAsia="仿宋_GB2312"/>
          <w:highlight w:val="none"/>
        </w:rPr>
        <w:t>万元</w:t>
      </w:r>
      <w:r>
        <w:rPr>
          <w:rFonts w:hint="eastAsia" w:ascii="仿宋_GB2312" w:hAnsi="宋体" w:eastAsia="仿宋_GB2312"/>
          <w:highlight w:val="none"/>
          <w:lang w:eastAsia="zh-CN"/>
        </w:rPr>
        <w:t>、城市基础设施配套费收入</w:t>
      </w:r>
      <w:r>
        <w:rPr>
          <w:rFonts w:hint="eastAsia" w:ascii="仿宋_GB2312" w:hAnsi="宋体" w:eastAsia="仿宋_GB2312"/>
          <w:highlight w:val="none"/>
          <w:lang w:val="en-US" w:eastAsia="zh-CN"/>
        </w:rPr>
        <w:t>900万元、污水处理费收入900万元，其他政府性基金收入12,476万元</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上述政府性基金预算收入</w:t>
      </w:r>
      <w:r>
        <w:rPr>
          <w:rFonts w:hint="eastAsia" w:ascii="仿宋_GB2312" w:hAnsi="宋体" w:eastAsia="仿宋_GB2312"/>
          <w:highlight w:val="none"/>
          <w:lang w:val="en-US" w:eastAsia="zh-CN"/>
        </w:rPr>
        <w:t>142,074</w:t>
      </w:r>
      <w:r>
        <w:rPr>
          <w:rFonts w:hint="eastAsia" w:ascii="仿宋_GB2312" w:hAnsi="宋体" w:eastAsia="仿宋_GB2312"/>
          <w:highlight w:val="none"/>
        </w:rPr>
        <w:t>万元，加上</w:t>
      </w:r>
      <w:r>
        <w:rPr>
          <w:rFonts w:hint="eastAsia" w:ascii="仿宋_GB2312" w:hAnsi="宋体" w:eastAsia="仿宋_GB2312"/>
          <w:highlight w:val="none"/>
          <w:lang w:eastAsia="zh-CN"/>
        </w:rPr>
        <w:t>提前下达上级转移支付收入</w:t>
      </w:r>
      <w:r>
        <w:rPr>
          <w:rFonts w:hint="eastAsia" w:ascii="仿宋_GB2312" w:hAnsi="宋体" w:eastAsia="仿宋_GB2312"/>
          <w:highlight w:val="none"/>
          <w:lang w:val="en-US" w:eastAsia="zh-CN"/>
        </w:rPr>
        <w:t>2,572</w:t>
      </w:r>
      <w:r>
        <w:rPr>
          <w:rFonts w:hint="eastAsia" w:ascii="仿宋_GB2312" w:hAnsi="宋体" w:eastAsia="仿宋_GB2312"/>
          <w:highlight w:val="none"/>
        </w:rPr>
        <w:t>万元、上年结余</w:t>
      </w:r>
      <w:r>
        <w:rPr>
          <w:rFonts w:hint="eastAsia" w:ascii="仿宋_GB2312" w:hAnsi="宋体" w:eastAsia="仿宋_GB2312"/>
          <w:highlight w:val="none"/>
          <w:lang w:val="en-US" w:eastAsia="zh-CN"/>
        </w:rPr>
        <w:t>35,530</w:t>
      </w:r>
      <w:r>
        <w:rPr>
          <w:rFonts w:hint="eastAsia" w:ascii="仿宋_GB2312" w:hAnsi="宋体" w:eastAsia="仿宋_GB2312"/>
          <w:highlight w:val="none"/>
        </w:rPr>
        <w:t>万元，减去上解支出</w:t>
      </w:r>
      <w:r>
        <w:rPr>
          <w:rFonts w:hint="eastAsia" w:ascii="仿宋_GB2312" w:hAnsi="宋体" w:eastAsia="仿宋_GB2312"/>
          <w:highlight w:val="none"/>
          <w:lang w:val="en-US" w:eastAsia="zh-CN"/>
        </w:rPr>
        <w:t>2,400</w:t>
      </w:r>
      <w:r>
        <w:rPr>
          <w:rFonts w:hint="eastAsia" w:ascii="仿宋_GB2312" w:hAnsi="宋体" w:eastAsia="仿宋_GB2312"/>
          <w:highlight w:val="none"/>
        </w:rPr>
        <w:t>万元及地方政府专项债务还本支出</w:t>
      </w:r>
      <w:r>
        <w:rPr>
          <w:rFonts w:hint="eastAsia" w:ascii="仿宋_GB2312" w:hAnsi="宋体" w:eastAsia="仿宋_GB2312"/>
          <w:highlight w:val="none"/>
          <w:lang w:val="en-US" w:eastAsia="zh-CN"/>
        </w:rPr>
        <w:t>56,341</w:t>
      </w:r>
      <w:r>
        <w:rPr>
          <w:rFonts w:hint="eastAsia" w:ascii="仿宋_GB2312" w:hAnsi="宋体" w:eastAsia="仿宋_GB2312"/>
          <w:highlight w:val="none"/>
        </w:rPr>
        <w:t>万元，202</w:t>
      </w:r>
      <w:r>
        <w:rPr>
          <w:rFonts w:hint="eastAsia" w:ascii="仿宋_GB2312" w:hAnsi="宋体" w:eastAsia="仿宋_GB2312"/>
          <w:highlight w:val="none"/>
          <w:lang w:val="en-US" w:eastAsia="zh-CN"/>
        </w:rPr>
        <w:t>4</w:t>
      </w:r>
      <w:r>
        <w:rPr>
          <w:rFonts w:hint="eastAsia" w:ascii="仿宋_GB2312" w:hAnsi="宋体" w:eastAsia="仿宋_GB2312"/>
          <w:highlight w:val="none"/>
        </w:rPr>
        <w:t>年可安排的基金财力为</w:t>
      </w:r>
      <w:r>
        <w:rPr>
          <w:rFonts w:hint="eastAsia" w:ascii="仿宋_GB2312" w:hAnsi="宋体" w:eastAsia="仿宋_GB2312"/>
          <w:highlight w:val="none"/>
          <w:lang w:val="en-US" w:eastAsia="zh-CN"/>
        </w:rPr>
        <w:t>121,435</w:t>
      </w:r>
      <w:r>
        <w:rPr>
          <w:rFonts w:hint="eastAsia" w:ascii="仿宋_GB2312" w:hAnsi="宋体" w:eastAsia="仿宋_GB2312"/>
          <w:highlight w:val="none"/>
        </w:rPr>
        <w:t>万元</w:t>
      </w:r>
      <w:r>
        <w:rPr>
          <w:rFonts w:hint="eastAsia" w:ascii="仿宋_GB2312" w:hAnsi="宋体" w:eastAsia="仿宋_GB2312"/>
          <w:highlight w:val="none"/>
          <w:lang w:eastAsia="zh-CN"/>
        </w:rPr>
        <w:t>。</w:t>
      </w: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年预算支出预计安排</w:t>
      </w:r>
      <w:r>
        <w:rPr>
          <w:rFonts w:hint="eastAsia" w:ascii="仿宋_GB2312" w:hAnsi="宋体" w:eastAsia="仿宋_GB2312"/>
          <w:highlight w:val="none"/>
          <w:lang w:val="en-US" w:eastAsia="zh-CN"/>
        </w:rPr>
        <w:t>121,435</w:t>
      </w:r>
      <w:r>
        <w:rPr>
          <w:rFonts w:hint="eastAsia" w:ascii="仿宋_GB2312" w:hAnsi="宋体" w:eastAsia="仿宋_GB2312"/>
          <w:highlight w:val="none"/>
        </w:rPr>
        <w:t>万</w:t>
      </w:r>
      <w:r>
        <w:rPr>
          <w:rFonts w:hint="eastAsia" w:ascii="仿宋_GB2312" w:hAnsi="宋体" w:eastAsia="仿宋_GB2312"/>
          <w:highlight w:val="none"/>
          <w:lang w:val="en-US" w:eastAsia="zh-CN"/>
        </w:rPr>
        <w:t>元，</w:t>
      </w:r>
      <w:r>
        <w:rPr>
          <w:rFonts w:hint="eastAsia" w:ascii="仿宋_GB2312" w:hAnsi="宋体" w:eastAsia="仿宋_GB2312"/>
          <w:highlight w:val="none"/>
        </w:rPr>
        <w:t>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主要支出项目安排情况是：</w:t>
      </w:r>
      <w:r>
        <w:rPr>
          <w:rFonts w:hint="eastAsia" w:ascii="仿宋_GB2312" w:hAnsi="宋体" w:eastAsia="仿宋_GB2312"/>
          <w:highlight w:val="none"/>
          <w:lang w:eastAsia="zh-CN"/>
        </w:rPr>
        <w:t>社会保障和就业支出</w:t>
      </w:r>
      <w:r>
        <w:rPr>
          <w:rFonts w:hint="eastAsia" w:ascii="仿宋_GB2312" w:hAnsi="宋体" w:eastAsia="仿宋_GB2312"/>
          <w:highlight w:val="none"/>
          <w:lang w:val="en-US" w:eastAsia="zh-CN"/>
        </w:rPr>
        <w:t>686万元；</w:t>
      </w:r>
      <w:r>
        <w:rPr>
          <w:rFonts w:hint="eastAsia" w:ascii="仿宋_GB2312" w:hAnsi="宋体" w:eastAsia="仿宋_GB2312"/>
          <w:highlight w:val="none"/>
        </w:rPr>
        <w:t>城乡社区支出</w:t>
      </w:r>
      <w:r>
        <w:rPr>
          <w:rFonts w:hint="eastAsia" w:ascii="仿宋_GB2312" w:hAnsi="宋体" w:eastAsia="仿宋_GB2312"/>
          <w:highlight w:val="none"/>
          <w:lang w:val="en-US" w:eastAsia="zh-CN"/>
        </w:rPr>
        <w:t>101,260</w:t>
      </w:r>
      <w:r>
        <w:rPr>
          <w:rFonts w:hint="eastAsia" w:ascii="仿宋_GB2312" w:hAnsi="宋体" w:eastAsia="仿宋_GB2312"/>
          <w:highlight w:val="none"/>
        </w:rPr>
        <w:t>万元；</w:t>
      </w:r>
      <w:r>
        <w:rPr>
          <w:rFonts w:hint="eastAsia" w:ascii="仿宋_GB2312" w:hAnsi="宋体" w:eastAsia="仿宋_GB2312"/>
          <w:highlight w:val="none"/>
          <w:lang w:val="en-US" w:eastAsia="zh-CN"/>
        </w:rPr>
        <w:t>农林水支出1,040万元。</w:t>
      </w:r>
      <w:r>
        <w:rPr>
          <w:rFonts w:hint="eastAsia" w:ascii="仿宋_GB2312" w:hAnsi="宋体" w:eastAsia="仿宋_GB2312"/>
          <w:highlight w:val="none"/>
        </w:rPr>
        <w:t>其他支出</w:t>
      </w:r>
      <w:r>
        <w:rPr>
          <w:rFonts w:hint="eastAsia" w:ascii="仿宋_GB2312" w:hAnsi="宋体" w:eastAsia="仿宋_GB2312"/>
          <w:highlight w:val="none"/>
          <w:lang w:val="en-US" w:eastAsia="zh-CN"/>
        </w:rPr>
        <w:t>1150</w:t>
      </w:r>
      <w:r>
        <w:rPr>
          <w:rFonts w:hint="eastAsia" w:ascii="仿宋_GB2312" w:hAnsi="宋体" w:eastAsia="仿宋_GB2312"/>
          <w:highlight w:val="none"/>
        </w:rPr>
        <w:t>万元；债务付息支出</w:t>
      </w:r>
      <w:r>
        <w:rPr>
          <w:rFonts w:hint="eastAsia" w:ascii="仿宋_GB2312" w:hAnsi="宋体" w:eastAsia="仿宋_GB2312"/>
          <w:highlight w:val="none"/>
          <w:lang w:val="en-US" w:eastAsia="zh-CN"/>
        </w:rPr>
        <w:t>17,209</w:t>
      </w:r>
      <w:r>
        <w:rPr>
          <w:rFonts w:hint="eastAsia" w:ascii="仿宋_GB2312" w:hAnsi="宋体" w:eastAsia="仿宋_GB2312"/>
          <w:highlight w:val="none"/>
        </w:rPr>
        <w:t>万元；债务发行费用支出</w:t>
      </w:r>
      <w:r>
        <w:rPr>
          <w:rFonts w:hint="eastAsia" w:ascii="仿宋_GB2312" w:hAnsi="宋体" w:eastAsia="仿宋_GB2312"/>
          <w:highlight w:val="none"/>
          <w:lang w:val="en-US" w:eastAsia="zh-CN"/>
        </w:rPr>
        <w:t>90</w:t>
      </w:r>
      <w:r>
        <w:rPr>
          <w:rFonts w:hint="eastAsia" w:ascii="仿宋_GB2312" w:hAnsi="宋体" w:eastAsia="仿宋_GB231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highlight w:val="none"/>
        </w:rPr>
      </w:pPr>
      <w:r>
        <w:rPr>
          <w:rFonts w:hint="eastAsia" w:ascii="楷体_GB2312" w:hAnsi="宋体" w:eastAsia="楷体_GB2312"/>
          <w:b/>
          <w:highlight w:val="none"/>
        </w:rPr>
        <w:t>（三）社会保险基金预算收支安排情况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年社会保险基金预计收入</w:t>
      </w:r>
      <w:r>
        <w:rPr>
          <w:rFonts w:hint="eastAsia" w:ascii="仿宋_GB2312" w:hAnsi="宋体" w:eastAsia="仿宋_GB2312"/>
          <w:highlight w:val="none"/>
          <w:lang w:val="en-US" w:eastAsia="zh-CN"/>
        </w:rPr>
        <w:t>12,501</w:t>
      </w:r>
      <w:r>
        <w:rPr>
          <w:rFonts w:hint="eastAsia" w:ascii="仿宋_GB2312" w:hAnsi="宋体" w:eastAsia="仿宋_GB2312"/>
          <w:highlight w:val="none"/>
        </w:rPr>
        <w:t>万元，其中：</w:t>
      </w:r>
      <w:r>
        <w:rPr>
          <w:rFonts w:hint="eastAsia" w:ascii="仿宋_GB2312" w:hAnsi="宋体" w:eastAsia="仿宋_GB2312"/>
          <w:highlight w:val="none"/>
          <w:lang w:eastAsia="zh-CN"/>
        </w:rPr>
        <w:t>城乡居民基本养老保险基金收入</w:t>
      </w:r>
      <w:r>
        <w:rPr>
          <w:rFonts w:hint="eastAsia" w:ascii="仿宋_GB2312" w:hAnsi="宋体" w:eastAsia="仿宋_GB2312"/>
          <w:highlight w:val="none"/>
          <w:lang w:val="en-US" w:eastAsia="zh-CN"/>
        </w:rPr>
        <w:t>4,412</w:t>
      </w:r>
      <w:r>
        <w:rPr>
          <w:rFonts w:hint="eastAsia" w:ascii="仿宋_GB2312" w:hAnsi="宋体" w:eastAsia="仿宋_GB2312"/>
          <w:highlight w:val="none"/>
        </w:rPr>
        <w:t>万元，</w:t>
      </w:r>
      <w:r>
        <w:rPr>
          <w:rFonts w:hint="eastAsia" w:ascii="仿宋_GB2312" w:hAnsi="宋体" w:eastAsia="仿宋_GB2312"/>
          <w:highlight w:val="none"/>
          <w:lang w:eastAsia="zh-CN"/>
        </w:rPr>
        <w:t>机关事业单位基本养老保险基金收入</w:t>
      </w:r>
      <w:r>
        <w:rPr>
          <w:rFonts w:hint="eastAsia" w:ascii="仿宋_GB2312" w:hAnsi="宋体" w:eastAsia="仿宋_GB2312"/>
          <w:highlight w:val="none"/>
          <w:lang w:val="en-US" w:eastAsia="zh-CN"/>
        </w:rPr>
        <w:t>8,089</w:t>
      </w:r>
      <w:r>
        <w:rPr>
          <w:rFonts w:hint="eastAsia" w:ascii="仿宋_GB2312" w:hAnsi="宋体" w:eastAsia="仿宋_GB231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年社会保险基金支出</w:t>
      </w:r>
      <w:r>
        <w:rPr>
          <w:rFonts w:hint="eastAsia" w:ascii="仿宋_GB2312" w:hAnsi="宋体" w:eastAsia="仿宋_GB2312"/>
          <w:highlight w:val="none"/>
          <w:lang w:val="en-US" w:eastAsia="zh-CN"/>
        </w:rPr>
        <w:t>9,443</w:t>
      </w:r>
      <w:r>
        <w:rPr>
          <w:rFonts w:hint="eastAsia" w:ascii="仿宋_GB2312" w:hAnsi="宋体" w:eastAsia="仿宋_GB2312"/>
          <w:highlight w:val="none"/>
        </w:rPr>
        <w:t>万元，其中</w:t>
      </w:r>
      <w:r>
        <w:rPr>
          <w:rFonts w:hint="eastAsia" w:ascii="仿宋_GB2312" w:hAnsi="宋体" w:eastAsia="仿宋_GB2312"/>
          <w:highlight w:val="none"/>
          <w:lang w:eastAsia="zh-CN"/>
        </w:rPr>
        <w:t>城乡居民基本养老保险基金收入</w:t>
      </w:r>
      <w:r>
        <w:rPr>
          <w:rFonts w:hint="eastAsia" w:ascii="仿宋_GB2312" w:hAnsi="宋体" w:eastAsia="仿宋_GB2312"/>
          <w:highlight w:val="none"/>
          <w:lang w:val="en-US" w:eastAsia="zh-CN"/>
        </w:rPr>
        <w:t>3,499</w:t>
      </w:r>
      <w:r>
        <w:rPr>
          <w:rFonts w:hint="eastAsia" w:ascii="仿宋_GB2312" w:hAnsi="宋体" w:eastAsia="仿宋_GB2312"/>
          <w:highlight w:val="none"/>
        </w:rPr>
        <w:t>万元，</w:t>
      </w:r>
      <w:r>
        <w:rPr>
          <w:rFonts w:hint="eastAsia" w:ascii="仿宋_GB2312" w:hAnsi="宋体" w:eastAsia="仿宋_GB2312"/>
          <w:highlight w:val="none"/>
          <w:lang w:eastAsia="zh-CN"/>
        </w:rPr>
        <w:t>机关事业单位基本养老保险基金收入</w:t>
      </w:r>
      <w:r>
        <w:rPr>
          <w:rFonts w:hint="eastAsia" w:ascii="仿宋_GB2312" w:hAnsi="宋体" w:eastAsia="仿宋_GB2312"/>
          <w:highlight w:val="none"/>
          <w:lang w:val="en-US" w:eastAsia="zh-CN"/>
        </w:rPr>
        <w:t>5,944</w:t>
      </w:r>
      <w:r>
        <w:rPr>
          <w:rFonts w:hint="eastAsia" w:ascii="仿宋_GB2312" w:hAnsi="宋体" w:eastAsia="仿宋_GB2312"/>
          <w:highlight w:val="none"/>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ascii="楷体_GB2312" w:hAnsi="宋体" w:eastAsia="楷体_GB2312"/>
          <w:b/>
          <w:highlight w:val="none"/>
        </w:rPr>
      </w:pPr>
      <w:r>
        <w:rPr>
          <w:rFonts w:hint="eastAsia" w:ascii="楷体_GB2312" w:hAnsi="宋体" w:eastAsia="楷体_GB2312"/>
          <w:b/>
          <w:highlight w:val="none"/>
        </w:rPr>
        <w:t>（四）国有资本经营预算收支安排情况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年我市国有资本经营收入预计</w:t>
      </w:r>
      <w:r>
        <w:rPr>
          <w:rFonts w:hint="eastAsia" w:ascii="仿宋_GB2312" w:hAnsi="宋体" w:eastAsia="仿宋_GB2312"/>
          <w:highlight w:val="none"/>
          <w:lang w:val="en-US" w:eastAsia="zh-CN"/>
        </w:rPr>
        <w:t>102</w:t>
      </w:r>
      <w:r>
        <w:rPr>
          <w:rFonts w:hint="eastAsia" w:ascii="仿宋_GB2312" w:hAnsi="宋体" w:eastAsia="仿宋_GB2312"/>
          <w:highlight w:val="none"/>
        </w:rPr>
        <w:t>万元，拟安排</w:t>
      </w:r>
      <w:r>
        <w:rPr>
          <w:rFonts w:hint="eastAsia" w:ascii="仿宋_GB2312" w:hAnsi="宋体" w:eastAsia="仿宋_GB2312"/>
          <w:highlight w:val="none"/>
          <w:lang w:val="en-US" w:eastAsia="zh-CN"/>
        </w:rPr>
        <w:t>100</w:t>
      </w:r>
      <w:r>
        <w:rPr>
          <w:rFonts w:hint="eastAsia" w:ascii="仿宋_GB2312" w:hAnsi="宋体" w:eastAsia="仿宋_GB2312"/>
          <w:highlight w:val="none"/>
        </w:rPr>
        <w:t>万元用于调入一般公共预算</w:t>
      </w:r>
      <w:r>
        <w:rPr>
          <w:rFonts w:hint="eastAsia" w:ascii="仿宋_GB2312" w:hAnsi="宋体" w:eastAsia="仿宋_GB2312"/>
          <w:highlight w:val="none"/>
          <w:lang w:val="en-US" w:eastAsia="zh-CN"/>
        </w:rPr>
        <w:t>,国有资本经营支出2万元</w:t>
      </w:r>
      <w:r>
        <w:rPr>
          <w:rFonts w:hint="eastAsia" w:ascii="仿宋_GB2312" w:hAnsi="宋体" w:eastAsia="仿宋_GB231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宋体" w:eastAsia="黑体"/>
          <w:highlight w:val="none"/>
        </w:rPr>
      </w:pPr>
      <w:r>
        <w:rPr>
          <w:rFonts w:hint="eastAsia" w:ascii="黑体" w:hAnsi="宋体" w:eastAsia="黑体"/>
          <w:highlight w:val="none"/>
        </w:rPr>
        <w:t>三、坚定信心，担当实干，确保完成202</w:t>
      </w:r>
      <w:r>
        <w:rPr>
          <w:rFonts w:hint="eastAsia" w:ascii="黑体" w:hAnsi="宋体" w:eastAsia="黑体"/>
          <w:highlight w:val="none"/>
          <w:lang w:val="en-US" w:eastAsia="zh-CN"/>
        </w:rPr>
        <w:t>4</w:t>
      </w:r>
      <w:r>
        <w:rPr>
          <w:rFonts w:hint="eastAsia" w:ascii="黑体" w:hAnsi="宋体" w:eastAsia="黑体"/>
          <w:highlight w:val="none"/>
        </w:rPr>
        <w:t>年预算任务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highlight w:val="none"/>
        </w:rPr>
      </w:pPr>
      <w:r>
        <w:rPr>
          <w:rFonts w:hint="eastAsia" w:ascii="仿宋_GB2312" w:hAnsi="宋体" w:eastAsia="仿宋_GB2312"/>
          <w:highlight w:val="none"/>
        </w:rPr>
        <w:t>202</w:t>
      </w:r>
      <w:r>
        <w:rPr>
          <w:rFonts w:hint="eastAsia" w:ascii="仿宋_GB2312" w:hAnsi="宋体" w:eastAsia="仿宋_GB2312"/>
          <w:highlight w:val="none"/>
          <w:lang w:val="en-US" w:eastAsia="zh-CN"/>
        </w:rPr>
        <w:t>4</w:t>
      </w:r>
      <w:r>
        <w:rPr>
          <w:rFonts w:hint="eastAsia" w:ascii="仿宋_GB2312" w:hAnsi="宋体" w:eastAsia="仿宋_GB2312"/>
          <w:highlight w:val="none"/>
        </w:rPr>
        <w:t>年，我们将紧跟紧盯市委、市政府中心工作，坚持稳中求进工作总基调，按照“集中财力办大事”的工作思路，进一步发挥财政职能作用，确保财政预算执行和管理改革各项任务顺利完成。着重做好以下几方面的工作：</w:t>
      </w:r>
    </w:p>
    <w:p>
      <w:pPr>
        <w:keepNext w:val="0"/>
        <w:keepLines w:val="0"/>
        <w:pageBreakBefore w:val="0"/>
        <w:widowControl/>
        <w:suppressLineNumbers w:val="0"/>
        <w:kinsoku/>
        <w:wordWrap/>
        <w:overflowPunct/>
        <w:topLinePunct w:val="0"/>
        <w:autoSpaceDE/>
        <w:autoSpaceDN/>
        <w:bidi w:val="0"/>
        <w:spacing w:line="560" w:lineRule="exact"/>
        <w:ind w:firstLine="643" w:firstLineChars="200"/>
        <w:jc w:val="both"/>
        <w:textAlignment w:val="auto"/>
        <w:rPr>
          <w:rFonts w:hint="eastAsia" w:ascii="仿宋_GB2312" w:hAnsi="宋体" w:eastAsia="仿宋_GB2312"/>
          <w:highlight w:val="none"/>
        </w:rPr>
      </w:pPr>
      <w:r>
        <w:rPr>
          <w:rFonts w:hint="eastAsia" w:ascii="楷体_GB2312" w:hAnsi="楷体_GB2312" w:eastAsia="楷体_GB2312" w:cs="楷体_GB2312"/>
          <w:b/>
          <w:bCs/>
          <w:kern w:val="0"/>
          <w:highlight w:val="none"/>
          <w:lang w:eastAsia="zh-CN"/>
        </w:rPr>
        <w:t>（一）</w:t>
      </w:r>
      <w:r>
        <w:rPr>
          <w:rFonts w:hint="eastAsia" w:ascii="楷体_GB2312" w:hAnsi="楷体_GB2312" w:eastAsia="楷体_GB2312" w:cs="楷体_GB2312"/>
          <w:b/>
          <w:bCs/>
          <w:kern w:val="0"/>
          <w:highlight w:val="none"/>
        </w:rPr>
        <w:t>强化收支管理，全力聚财源、优结构。</w:t>
      </w:r>
      <w:r>
        <w:rPr>
          <w:rFonts w:hint="eastAsia" w:ascii="仿宋_GB2312" w:hAnsi="宋体" w:eastAsia="仿宋_GB2312"/>
          <w:highlight w:val="none"/>
          <w:lang w:val="en-US" w:eastAsia="zh-CN"/>
        </w:rPr>
        <w:t>将财政增收作为首要任务，进一步稳定财政收入质量，稳定财政收入增速，加强涉税信息共享共用，依法加强非税收入征管，努力实现财政收入应收尽收，坚持“稳中求质”。谋划好土地出让文章，有序推进土地资源盘活整治。全力争项目争政策争资金。始终坚持严和紧的主基调不放松，把过紧日子、苦日子要求贯穿预算管理的全过程全周期，从严安排“三公”经费，严格控制政府购买服务，坚决压减一般性支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highlight w:val="none"/>
          <w:lang w:val="en-US" w:eastAsia="zh-CN"/>
        </w:rPr>
      </w:pPr>
      <w:r>
        <w:rPr>
          <w:rFonts w:hint="eastAsia" w:ascii="楷体_GB2312" w:hAnsi="楷体_GB2312" w:eastAsia="楷体_GB2312" w:cs="楷体_GB2312"/>
          <w:b/>
          <w:bCs/>
          <w:kern w:val="0"/>
          <w:highlight w:val="none"/>
        </w:rPr>
        <w:t>一是抓收入“源头”。</w:t>
      </w:r>
      <w:r>
        <w:rPr>
          <w:rFonts w:hint="eastAsia" w:ascii="仿宋_GB2312" w:hAnsi="宋体" w:eastAsia="仿宋_GB2312"/>
          <w:highlight w:val="none"/>
          <w:lang w:val="en-US" w:eastAsia="zh-CN"/>
        </w:rPr>
        <w:t>一是强化收入管理。持续开展“做大产业扩大税源”行动，扶大做强、堵漏增收。强化与部门联动，规范非税收入征缴入库工作。完善财政收入月报机制、协同机制、对接机制，以月保季、以季保年，确保财政收入平稳可持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Times New Roman"/>
          <w:highlight w:val="none"/>
        </w:rPr>
      </w:pPr>
      <w:r>
        <w:rPr>
          <w:rFonts w:hint="eastAsia" w:ascii="楷体_GB2312" w:hAnsi="楷体_GB2312" w:eastAsia="楷体_GB2312" w:cs="楷体_GB2312"/>
          <w:b/>
          <w:bCs/>
          <w:kern w:val="0"/>
          <w:highlight w:val="none"/>
        </w:rPr>
        <w:t>二是控预算“龙头”。</w:t>
      </w:r>
      <w:r>
        <w:rPr>
          <w:rFonts w:hint="eastAsia" w:ascii="仿宋_GB2312" w:hAnsi="宋体" w:eastAsia="仿宋_GB2312" w:cs="Times New Roman"/>
          <w:highlight w:val="none"/>
        </w:rPr>
        <w:t>贯彻过“更紧日子”要求</w:t>
      </w:r>
      <w:r>
        <w:rPr>
          <w:rFonts w:hint="eastAsia" w:ascii="仿宋_GB2312" w:hAnsi="宋体" w:eastAsia="仿宋_GB2312" w:cs="Times New Roman"/>
          <w:highlight w:val="none"/>
          <w:lang w:eastAsia="zh-CN"/>
        </w:rPr>
        <w:t>，</w:t>
      </w:r>
      <w:r>
        <w:rPr>
          <w:rFonts w:hint="eastAsia" w:ascii="仿宋_GB2312" w:hAnsi="宋体" w:eastAsia="仿宋_GB2312" w:cs="Times New Roman"/>
          <w:highlight w:val="none"/>
        </w:rPr>
        <w:t>三公经费继续保持只减不增</w:t>
      </w:r>
      <w:r>
        <w:rPr>
          <w:rFonts w:hint="eastAsia" w:ascii="仿宋_GB2312" w:hAnsi="宋体" w:eastAsia="仿宋_GB2312" w:cs="Times New Roman"/>
          <w:highlight w:val="none"/>
          <w:lang w:eastAsia="zh-CN"/>
        </w:rPr>
        <w:t>，</w:t>
      </w:r>
      <w:r>
        <w:rPr>
          <w:rFonts w:hint="eastAsia" w:ascii="仿宋_GB2312" w:hAnsi="宋体" w:eastAsia="仿宋_GB2312" w:cs="Times New Roman"/>
          <w:highlight w:val="none"/>
        </w:rPr>
        <w:t>压一般、保重点、严追加。突出轻重缓急排序，重点保障基本民生项目支出。坚持无预算不支出，未纳入预算的新增项目一律不安排。</w:t>
      </w:r>
    </w:p>
    <w:p>
      <w:pPr>
        <w:pStyle w:val="4"/>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仿宋_GB2312" w:hAnsi="宋体" w:eastAsia="仿宋_GB2312" w:cs="Times New Roman"/>
          <w:kern w:val="2"/>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三是强化收支平衡。</w:t>
      </w:r>
      <w:r>
        <w:rPr>
          <w:rFonts w:hint="eastAsia" w:ascii="仿宋_GB2312" w:hAnsi="宋体" w:eastAsia="仿宋_GB2312" w:cs="Times New Roman"/>
          <w:kern w:val="2"/>
          <w:sz w:val="32"/>
          <w:szCs w:val="32"/>
          <w:highlight w:val="none"/>
          <w:lang w:val="en-US" w:eastAsia="zh-CN" w:bidi="ar-SA"/>
        </w:rPr>
        <w:t>加强财政收支</w:t>
      </w:r>
      <w:r>
        <w:rPr>
          <w:rFonts w:hint="eastAsia" w:ascii="仿宋_GB2312" w:hAnsi="宋体" w:cs="Times New Roman"/>
          <w:kern w:val="2"/>
          <w:sz w:val="32"/>
          <w:szCs w:val="32"/>
          <w:highlight w:val="none"/>
          <w:lang w:val="en-US" w:eastAsia="zh-CN" w:bidi="ar-SA"/>
        </w:rPr>
        <w:t>平衡</w:t>
      </w:r>
      <w:r>
        <w:rPr>
          <w:rFonts w:hint="eastAsia" w:ascii="仿宋_GB2312" w:hAnsi="宋体" w:eastAsia="仿宋_GB2312" w:cs="Times New Roman"/>
          <w:kern w:val="2"/>
          <w:sz w:val="32"/>
          <w:szCs w:val="32"/>
          <w:highlight w:val="none"/>
          <w:lang w:val="en-US" w:eastAsia="zh-CN" w:bidi="ar-SA"/>
        </w:rPr>
        <w:t>分析，依托预算管理一体化平台，加大预算间统筹和存量资产的盘活力度，合理使用预算稳定调节基金，</w:t>
      </w:r>
      <w:r>
        <w:rPr>
          <w:rFonts w:hint="eastAsia" w:ascii="仿宋_GB2312" w:hAnsi="宋体" w:cs="Times New Roman"/>
          <w:kern w:val="2"/>
          <w:sz w:val="32"/>
          <w:szCs w:val="32"/>
          <w:highlight w:val="none"/>
          <w:lang w:val="en-US" w:eastAsia="zh-CN" w:bidi="ar-SA"/>
        </w:rPr>
        <w:t>实现</w:t>
      </w:r>
      <w:r>
        <w:rPr>
          <w:rFonts w:hint="eastAsia" w:ascii="仿宋_GB2312" w:hAnsi="宋体" w:eastAsia="仿宋_GB2312" w:cs="Times New Roman"/>
          <w:kern w:val="2"/>
          <w:sz w:val="32"/>
          <w:szCs w:val="32"/>
          <w:highlight w:val="none"/>
          <w:lang w:val="en-US" w:eastAsia="zh-CN" w:bidi="ar-SA"/>
        </w:rPr>
        <w:t>年度收支</w:t>
      </w:r>
      <w:r>
        <w:rPr>
          <w:rFonts w:hint="eastAsia" w:ascii="仿宋_GB2312" w:hAnsi="宋体" w:cs="Times New Roman"/>
          <w:kern w:val="2"/>
          <w:sz w:val="32"/>
          <w:szCs w:val="32"/>
          <w:highlight w:val="none"/>
          <w:lang w:val="en-US" w:eastAsia="zh-CN" w:bidi="ar-SA"/>
        </w:rPr>
        <w:t>平衡。</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宋体" w:eastAsia="仿宋_GB2312"/>
        </w:rPr>
      </w:pPr>
      <w:r>
        <w:rPr>
          <w:rFonts w:hint="eastAsia" w:ascii="楷体_GB2312" w:hAnsi="楷体_GB2312" w:eastAsia="楷体_GB2312" w:cs="楷体_GB2312"/>
          <w:b/>
          <w:bCs/>
          <w:kern w:val="0"/>
          <w:sz w:val="32"/>
          <w:szCs w:val="32"/>
          <w:highlight w:val="none"/>
          <w:lang w:val="en-US" w:eastAsia="zh-CN" w:bidi="ar-SA"/>
        </w:rPr>
        <w:t>（二）强化以人为本，全力保民生、兜底线。</w:t>
      </w:r>
      <w:r>
        <w:rPr>
          <w:rFonts w:hint="eastAsia" w:ascii="仿宋_GB2312" w:hAnsi="宋体" w:eastAsia="仿宋_GB2312"/>
        </w:rPr>
        <w:t>把保障和改善民生作为财政工作的出发点和落脚点，紧盯群众的基本需求和反映强烈的社会诉求，支持解决好教育、医疗、卫生、社保、环境整治等事关群众生存发展和日常生活的事项。</w:t>
      </w:r>
      <w:r>
        <w:rPr>
          <w:rFonts w:hint="eastAsia" w:ascii="仿宋_GB2312" w:hAnsi="仿宋_GB2312" w:eastAsia="仿宋_GB2312" w:cs="仿宋_GB2312"/>
          <w:color w:val="auto"/>
          <w:sz w:val="32"/>
          <w:szCs w:val="32"/>
          <w:highlight w:val="none"/>
          <w:lang w:val="en-US" w:eastAsia="zh-CN"/>
        </w:rPr>
        <w:t>稳步提升人民群众生活水平，扎实推动共同富裕，</w:t>
      </w:r>
      <w:r>
        <w:rPr>
          <w:rFonts w:hint="eastAsia" w:ascii="仿宋_GB2312" w:hAnsi="仿宋_GB2312" w:eastAsia="仿宋_GB2312" w:cs="仿宋_GB2312"/>
          <w:color w:val="auto"/>
          <w:sz w:val="32"/>
          <w:szCs w:val="32"/>
          <w:highlight w:val="none"/>
        </w:rPr>
        <w:t>切实提高人民群众的获得感</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幸福感</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宋体" w:eastAsia="仿宋_GB2312" w:cs="Times New Roman"/>
          <w:kern w:val="2"/>
          <w:sz w:val="32"/>
          <w:szCs w:val="32"/>
          <w:lang w:val="en-US" w:eastAsia="zh-CN" w:bidi="ar-SA"/>
        </w:rPr>
      </w:pPr>
      <w:r>
        <w:rPr>
          <w:rFonts w:hint="eastAsia" w:ascii="楷体_GB2312" w:hAnsi="楷体_GB2312" w:eastAsia="楷体_GB2312" w:cs="楷体_GB2312"/>
          <w:b/>
          <w:bCs/>
          <w:kern w:val="0"/>
          <w:sz w:val="32"/>
          <w:szCs w:val="32"/>
          <w:highlight w:val="none"/>
          <w:lang w:val="en-US" w:eastAsia="zh-CN" w:bidi="ar-SA"/>
        </w:rPr>
        <w:t>一是</w:t>
      </w:r>
      <w:r>
        <w:rPr>
          <w:rStyle w:val="10"/>
          <w:rFonts w:hint="eastAsia" w:ascii="仿宋_GB2312" w:hAnsi="Times New Roman" w:eastAsia="仿宋_GB2312" w:cs="仿宋_GB2312"/>
          <w:i w:val="0"/>
          <w:iCs w:val="0"/>
          <w:caps w:val="0"/>
          <w:color w:val="000000"/>
          <w:spacing w:val="0"/>
          <w:sz w:val="31"/>
          <w:szCs w:val="31"/>
          <w:shd w:val="clear" w:fill="FFFFFF"/>
        </w:rPr>
        <w:t>实施就业优先战略。</w:t>
      </w:r>
      <w:r>
        <w:rPr>
          <w:rFonts w:hint="eastAsia" w:ascii="仿宋_GB2312" w:hAnsi="宋体" w:eastAsia="仿宋_GB2312" w:cs="Times New Roman"/>
          <w:kern w:val="2"/>
          <w:sz w:val="32"/>
          <w:szCs w:val="32"/>
          <w:lang w:val="en-US" w:eastAsia="zh-CN" w:bidi="ar-SA"/>
        </w:rPr>
        <w:t>全力践行以人民为中心的发展思想，推动打造共同富裕先行区。安排就业资金46</w:t>
      </w:r>
      <w:r>
        <w:rPr>
          <w:rFonts w:hint="eastAsia" w:ascii="仿宋_GB2312" w:hAnsi="宋体" w:cs="Times New Roman"/>
          <w:kern w:val="2"/>
          <w:sz w:val="32"/>
          <w:szCs w:val="32"/>
          <w:lang w:val="en-US" w:eastAsia="zh-CN" w:bidi="ar-SA"/>
        </w:rPr>
        <w:t>5</w:t>
      </w:r>
      <w:r>
        <w:rPr>
          <w:rFonts w:hint="eastAsia" w:ascii="仿宋_GB2312" w:hAnsi="宋体" w:eastAsia="仿宋_GB2312" w:cs="Times New Roman"/>
          <w:kern w:val="2"/>
          <w:sz w:val="32"/>
          <w:szCs w:val="32"/>
          <w:lang w:val="en-US" w:eastAsia="zh-CN" w:bidi="ar-SA"/>
        </w:rPr>
        <w:t>万元，用于做好农村转移劳动力、城镇困难人员、退役军人</w:t>
      </w:r>
      <w:r>
        <w:rPr>
          <w:rFonts w:hint="eastAsia" w:ascii="仿宋_GB2312" w:hAnsi="宋体" w:cs="Times New Roman"/>
          <w:kern w:val="2"/>
          <w:sz w:val="32"/>
          <w:szCs w:val="32"/>
          <w:lang w:val="en-US" w:eastAsia="zh-CN" w:bidi="ar-SA"/>
        </w:rPr>
        <w:t>、</w:t>
      </w:r>
      <w:r>
        <w:rPr>
          <w:rFonts w:hint="eastAsia" w:ascii="仿宋_GB2312" w:hAnsi="宋体" w:eastAsia="仿宋_GB2312" w:cs="Times New Roman"/>
          <w:kern w:val="2"/>
          <w:sz w:val="32"/>
          <w:szCs w:val="32"/>
          <w:lang w:val="en-US" w:eastAsia="zh-CN" w:bidi="ar-SA"/>
        </w:rPr>
        <w:t>高校毕业生、返乡农民工就业等就业工作。</w:t>
      </w:r>
    </w:p>
    <w:p>
      <w:pPr>
        <w:pStyle w:val="4"/>
        <w:keepNext w:val="0"/>
        <w:keepLines w:val="0"/>
        <w:pageBreakBefore w:val="0"/>
        <w:numPr>
          <w:ilvl w:val="0"/>
          <w:numId w:val="0"/>
        </w:numPr>
        <w:kinsoku/>
        <w:wordWrap/>
        <w:overflowPunct/>
        <w:topLinePunct w:val="0"/>
        <w:autoSpaceDE/>
        <w:autoSpaceDN/>
        <w:bidi w:val="0"/>
        <w:spacing w:line="560" w:lineRule="exact"/>
        <w:ind w:firstLine="640"/>
        <w:jc w:val="both"/>
        <w:textAlignment w:val="auto"/>
        <w:rPr>
          <w:rFonts w:hint="eastAsia" w:ascii="仿宋_GB2312" w:hAnsi="宋体" w:eastAsia="仿宋_GB2312"/>
        </w:rPr>
      </w:pPr>
      <w:r>
        <w:rPr>
          <w:rFonts w:hint="eastAsia" w:ascii="楷体_GB2312" w:hAnsi="楷体_GB2312" w:eastAsia="楷体_GB2312" w:cs="楷体_GB2312"/>
          <w:b/>
          <w:bCs/>
          <w:kern w:val="0"/>
          <w:sz w:val="32"/>
          <w:szCs w:val="32"/>
          <w:highlight w:val="none"/>
          <w:lang w:val="en-US" w:eastAsia="zh-CN" w:bidi="ar-SA"/>
        </w:rPr>
        <w:t>二是着力优化公共服务。</w:t>
      </w:r>
      <w:r>
        <w:rPr>
          <w:rFonts w:hint="eastAsia" w:ascii="仿宋_GB2312" w:hAnsi="宋体" w:eastAsia="仿宋_GB2312"/>
        </w:rPr>
        <w:t>发挥财政资金保障作用，统筹需要和可能，把保障和改善民生建立在经济发展和财力可持续的基础上。围绕“一老一小”、民生补短板等重点领域，储备一批优质项目，着力改善公共基础设施和提升公共服务均等化水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60" w:lineRule="exact"/>
        <w:ind w:left="0" w:leftChars="0" w:right="0" w:firstLine="643" w:firstLineChars="200"/>
        <w:jc w:val="both"/>
        <w:textAlignment w:val="auto"/>
        <w:rPr>
          <w:rFonts w:hint="eastAsia" w:ascii="仿宋_GB2312" w:hAnsi="宋体"/>
          <w:lang w:eastAsia="zh-CN"/>
        </w:rPr>
      </w:pPr>
      <w:r>
        <w:rPr>
          <w:rFonts w:hint="eastAsia" w:ascii="楷体_GB2312" w:hAnsi="楷体_GB2312" w:eastAsia="楷体_GB2312" w:cs="楷体_GB2312"/>
          <w:b/>
          <w:bCs/>
          <w:kern w:val="0"/>
          <w:sz w:val="32"/>
          <w:szCs w:val="32"/>
          <w:highlight w:val="none"/>
          <w:lang w:val="en-US" w:eastAsia="zh-CN" w:bidi="ar-SA"/>
        </w:rPr>
        <w:t>三是大力支持乡村振兴。</w:t>
      </w:r>
      <w:r>
        <w:rPr>
          <w:rFonts w:hint="eastAsia" w:ascii="仿宋_GB2312" w:hAnsi="仿宋_GB2312" w:eastAsia="仿宋_GB2312" w:cs="仿宋_GB2312"/>
          <w:color w:val="auto"/>
          <w:sz w:val="32"/>
          <w:szCs w:val="32"/>
          <w:lang w:val="en-US" w:eastAsia="zh-CN"/>
        </w:rPr>
        <w:t>进一步加大财政投入力度，持续改善村居环境，缩小城乡差距；统筹整合财政衔接资金，助推乡村振兴产业项目落实落地，不断激发农业农村发展新活力，让群众有更多的获得感、幸福感。</w:t>
      </w:r>
    </w:p>
    <w:p>
      <w:pPr>
        <w:pStyle w:val="4"/>
        <w:keepNext w:val="0"/>
        <w:keepLines w:val="0"/>
        <w:pageBreakBefore w:val="0"/>
        <w:numPr>
          <w:ilvl w:val="0"/>
          <w:numId w:val="1"/>
        </w:numPr>
        <w:kinsoku/>
        <w:wordWrap/>
        <w:overflowPunct/>
        <w:topLinePunct w:val="0"/>
        <w:autoSpaceDE/>
        <w:autoSpaceDN/>
        <w:bidi w:val="0"/>
        <w:spacing w:line="560" w:lineRule="exact"/>
        <w:ind w:left="0" w:leftChars="0" w:firstLine="643" w:firstLineChars="200"/>
        <w:jc w:val="both"/>
        <w:textAlignment w:val="auto"/>
        <w:rPr>
          <w:rFonts w:hint="eastAsia" w:ascii="楷体_GB2312" w:hAnsi="楷体_GB2312" w:eastAsia="楷体_GB2312" w:cs="楷体_GB2312"/>
          <w:b/>
          <w:bCs/>
          <w:kern w:val="0"/>
          <w:sz w:val="32"/>
          <w:szCs w:val="32"/>
          <w:highlight w:val="none"/>
          <w:lang w:val="en-US" w:eastAsia="zh-CN" w:bidi="ar-SA"/>
        </w:rPr>
      </w:pPr>
      <w:r>
        <w:rPr>
          <w:rFonts w:hint="eastAsia" w:ascii="楷体_GB2312" w:hAnsi="楷体_GB2312" w:eastAsia="楷体_GB2312" w:cs="楷体_GB2312"/>
          <w:b/>
          <w:bCs/>
          <w:kern w:val="0"/>
          <w:sz w:val="32"/>
          <w:szCs w:val="32"/>
          <w:highlight w:val="none"/>
          <w:lang w:val="en-US" w:eastAsia="zh-CN" w:bidi="ar-SA"/>
        </w:rPr>
        <w:t>强化创新突破，全力抓绩效、促变革。</w:t>
      </w:r>
      <w:r>
        <w:rPr>
          <w:rFonts w:hint="eastAsia" w:ascii="仿宋_GB2312" w:hAnsi="宋体" w:eastAsia="仿宋_GB2312" w:cs="Times New Roman"/>
        </w:rPr>
        <w:t>全面加强预算绩效管理，不断提高财政资金使用效益和财政政策效能。着力构建全方位管理格局。进一步推进</w:t>
      </w:r>
      <w:r>
        <w:rPr>
          <w:rFonts w:hint="eastAsia" w:ascii="仿宋_GB2312" w:hAnsi="Times New Roman" w:eastAsia="仿宋_GB2312" w:cs="仿宋_GB2312"/>
          <w:i w:val="0"/>
          <w:iCs w:val="0"/>
          <w:caps w:val="0"/>
          <w:color w:val="000000"/>
          <w:spacing w:val="0"/>
          <w:sz w:val="31"/>
          <w:szCs w:val="31"/>
          <w:shd w:val="clear" w:fill="FFFFFF"/>
        </w:rPr>
        <w:t>部门和单位预算收支</w:t>
      </w:r>
      <w:r>
        <w:rPr>
          <w:rFonts w:hint="eastAsia" w:ascii="仿宋_GB2312" w:hAnsi="宋体" w:eastAsia="仿宋_GB2312" w:cs="仿宋_GB2312"/>
          <w:i w:val="0"/>
          <w:iCs w:val="0"/>
          <w:caps w:val="0"/>
          <w:color w:val="000000"/>
          <w:spacing w:val="0"/>
          <w:sz w:val="31"/>
          <w:szCs w:val="31"/>
          <w:shd w:val="clear" w:fill="FFFFFF"/>
        </w:rPr>
        <w:t>的</w:t>
      </w:r>
      <w:r>
        <w:rPr>
          <w:rFonts w:hint="eastAsia" w:ascii="仿宋_GB2312" w:hAnsi="Times New Roman" w:eastAsia="仿宋_GB2312" w:cs="仿宋_GB2312"/>
          <w:i w:val="0"/>
          <w:iCs w:val="0"/>
          <w:caps w:val="0"/>
          <w:color w:val="000000"/>
          <w:spacing w:val="0"/>
          <w:sz w:val="31"/>
          <w:szCs w:val="31"/>
          <w:shd w:val="clear" w:fill="FFFFFF"/>
        </w:rPr>
        <w:t>绩效管理，完善评价指标体系，提高部门和单位整体绩效水平。</w:t>
      </w:r>
      <w:r>
        <w:rPr>
          <w:rFonts w:hint="eastAsia" w:ascii="仿宋_GB2312" w:hAnsi="宋体" w:eastAsia="仿宋_GB2312" w:cs="仿宋_GB2312"/>
          <w:i w:val="0"/>
          <w:iCs w:val="0"/>
          <w:caps w:val="0"/>
          <w:color w:val="000000"/>
          <w:spacing w:val="0"/>
          <w:sz w:val="31"/>
          <w:szCs w:val="31"/>
          <w:shd w:val="clear" w:fill="FFFFFF"/>
        </w:rPr>
        <w:t>加强</w:t>
      </w:r>
      <w:r>
        <w:rPr>
          <w:rFonts w:hint="eastAsia" w:ascii="仿宋_GB2312" w:hAnsi="Times New Roman" w:eastAsia="仿宋_GB2312" w:cs="仿宋_GB2312"/>
          <w:i w:val="0"/>
          <w:iCs w:val="0"/>
          <w:caps w:val="0"/>
          <w:color w:val="000000"/>
          <w:spacing w:val="0"/>
          <w:sz w:val="31"/>
          <w:szCs w:val="31"/>
          <w:shd w:val="clear" w:fill="FFFFFF"/>
        </w:rPr>
        <w:t>政策和项目</w:t>
      </w:r>
      <w:r>
        <w:rPr>
          <w:rFonts w:hint="eastAsia" w:ascii="仿宋_GB2312" w:hAnsi="宋体" w:eastAsia="仿宋_GB2312" w:cs="仿宋_GB2312"/>
          <w:i w:val="0"/>
          <w:iCs w:val="0"/>
          <w:caps w:val="0"/>
          <w:color w:val="000000"/>
          <w:spacing w:val="0"/>
          <w:sz w:val="31"/>
          <w:szCs w:val="31"/>
          <w:shd w:val="clear" w:fill="FFFFFF"/>
        </w:rPr>
        <w:t>的</w:t>
      </w:r>
      <w:r>
        <w:rPr>
          <w:rFonts w:hint="eastAsia" w:ascii="仿宋_GB2312" w:hAnsi="Times New Roman" w:eastAsia="仿宋_GB2312" w:cs="仿宋_GB2312"/>
          <w:i w:val="0"/>
          <w:iCs w:val="0"/>
          <w:caps w:val="0"/>
          <w:color w:val="000000"/>
          <w:spacing w:val="0"/>
          <w:sz w:val="31"/>
          <w:szCs w:val="31"/>
          <w:shd w:val="clear" w:fill="FFFFFF"/>
        </w:rPr>
        <w:t>绩效管理，综合衡量政策和项目预算资金使用效果。对相关重大政策和项目实行全周期跟踪问效，</w:t>
      </w:r>
      <w:r>
        <w:rPr>
          <w:rFonts w:hint="eastAsia" w:ascii="仿宋_GB2312" w:hAnsi="宋体" w:eastAsia="仿宋_GB2312" w:cs="仿宋_GB2312"/>
          <w:i w:val="0"/>
          <w:iCs w:val="0"/>
          <w:caps w:val="0"/>
          <w:color w:val="000000"/>
          <w:spacing w:val="0"/>
          <w:sz w:val="31"/>
          <w:szCs w:val="31"/>
          <w:shd w:val="clear" w:fill="FFFFFF"/>
        </w:rPr>
        <w:t>健全</w:t>
      </w:r>
      <w:r>
        <w:rPr>
          <w:rFonts w:hint="eastAsia" w:ascii="仿宋_GB2312" w:hAnsi="Times New Roman" w:eastAsia="仿宋_GB2312" w:cs="仿宋_GB2312"/>
          <w:i w:val="0"/>
          <w:iCs w:val="0"/>
          <w:caps w:val="0"/>
          <w:color w:val="000000"/>
          <w:spacing w:val="0"/>
          <w:sz w:val="31"/>
          <w:szCs w:val="31"/>
          <w:shd w:val="clear" w:fill="FFFFFF"/>
        </w:rPr>
        <w:t>动态评价调整机制。</w:t>
      </w:r>
    </w:p>
    <w:p>
      <w:pPr>
        <w:pStyle w:val="4"/>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cs="Times New Roman"/>
          <w:kern w:val="2"/>
          <w:sz w:val="32"/>
          <w:szCs w:val="32"/>
          <w:highlight w:val="none"/>
          <w:lang w:val="en-US" w:eastAsia="zh-CN" w:bidi="ar-SA"/>
        </w:rPr>
      </w:pPr>
      <w:r>
        <w:rPr>
          <w:rStyle w:val="10"/>
          <w:rFonts w:hint="eastAsia" w:ascii="仿宋_GB2312" w:hAnsi="微软雅黑" w:eastAsia="仿宋_GB2312" w:cs="仿宋_GB2312"/>
          <w:i w:val="0"/>
          <w:iCs w:val="0"/>
          <w:caps w:val="0"/>
          <w:color w:val="000000"/>
          <w:spacing w:val="0"/>
          <w:sz w:val="32"/>
          <w:szCs w:val="32"/>
          <w:shd w:val="clear" w:fill="FFFFFF"/>
          <w:lang w:val="en-US" w:eastAsia="zh-CN"/>
        </w:rPr>
        <w:t>一是坚持</w:t>
      </w:r>
      <w:r>
        <w:rPr>
          <w:rStyle w:val="10"/>
          <w:rFonts w:hint="eastAsia" w:ascii="仿宋_GB2312" w:hAnsi="微软雅黑" w:cs="仿宋_GB2312"/>
          <w:i w:val="0"/>
          <w:iCs w:val="0"/>
          <w:caps w:val="0"/>
          <w:color w:val="000000"/>
          <w:spacing w:val="0"/>
          <w:sz w:val="32"/>
          <w:szCs w:val="32"/>
          <w:shd w:val="clear" w:fill="FFFFFF"/>
          <w:lang w:val="en-US" w:eastAsia="zh-CN"/>
        </w:rPr>
        <w:t>完善全方位</w:t>
      </w:r>
      <w:r>
        <w:rPr>
          <w:rStyle w:val="10"/>
          <w:rFonts w:hint="eastAsia" w:ascii="仿宋_GB2312" w:hAnsi="微软雅黑" w:eastAsia="仿宋_GB2312" w:cs="仿宋_GB2312"/>
          <w:i w:val="0"/>
          <w:iCs w:val="0"/>
          <w:caps w:val="0"/>
          <w:color w:val="000000"/>
          <w:spacing w:val="0"/>
          <w:sz w:val="32"/>
          <w:szCs w:val="32"/>
          <w:shd w:val="clear" w:fill="FFFFFF"/>
          <w:lang w:val="en-US" w:eastAsia="zh-CN"/>
        </w:rPr>
        <w:t>绩效优先。</w:t>
      </w:r>
      <w:r>
        <w:rPr>
          <w:rFonts w:hint="eastAsia" w:ascii="仿宋_GB2312" w:hAnsi="Times New Roman" w:eastAsia="仿宋_GB2312" w:cs="Times New Roman"/>
          <w:kern w:val="2"/>
          <w:sz w:val="32"/>
          <w:szCs w:val="32"/>
          <w:highlight w:val="none"/>
          <w:lang w:val="en-US" w:eastAsia="zh-CN" w:bidi="ar-SA"/>
        </w:rPr>
        <w:t>完善事前绩效评估和绩效目标审核机制，将事前绩效评估、绩效目标管理、绩效运行监控、绩效评价等全面融入预算管理一体化系统，推动绩效数据从“碎片化”向“一体化”转变，实现绩效全过程闭环管理</w:t>
      </w:r>
      <w:r>
        <w:rPr>
          <w:rFonts w:hint="eastAsia" w:ascii="仿宋_GB2312" w:cs="Times New Roman"/>
          <w:kern w:val="2"/>
          <w:sz w:val="32"/>
          <w:szCs w:val="32"/>
          <w:highlight w:val="none"/>
          <w:lang w:val="en-US" w:eastAsia="zh-CN" w:bidi="ar-SA"/>
        </w:rPr>
        <w:t>。</w:t>
      </w:r>
    </w:p>
    <w:p>
      <w:pPr>
        <w:pStyle w:val="4"/>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Times New Roman" w:eastAsia="仿宋_GB2312" w:cs="仿宋_GB2312"/>
          <w:i w:val="0"/>
          <w:iCs w:val="0"/>
          <w:caps w:val="0"/>
          <w:color w:val="000000"/>
          <w:spacing w:val="0"/>
          <w:sz w:val="32"/>
          <w:szCs w:val="32"/>
          <w:shd w:val="clear" w:fill="FFFFFF"/>
        </w:rPr>
      </w:pPr>
      <w:r>
        <w:rPr>
          <w:rStyle w:val="10"/>
          <w:rFonts w:hint="eastAsia" w:ascii="仿宋_GB2312" w:hAnsi="微软雅黑" w:cs="仿宋_GB2312"/>
          <w:i w:val="0"/>
          <w:iCs w:val="0"/>
          <w:caps w:val="0"/>
          <w:color w:val="000000"/>
          <w:spacing w:val="0"/>
          <w:sz w:val="32"/>
          <w:szCs w:val="32"/>
          <w:shd w:val="clear" w:fill="FFFFFF"/>
          <w:lang w:eastAsia="zh-CN"/>
        </w:rPr>
        <w:t>二是</w:t>
      </w:r>
      <w:r>
        <w:rPr>
          <w:rStyle w:val="10"/>
          <w:rFonts w:ascii="仿宋_GB2312" w:hAnsi="微软雅黑" w:eastAsia="仿宋_GB2312" w:cs="仿宋_GB2312"/>
          <w:i w:val="0"/>
          <w:iCs w:val="0"/>
          <w:caps w:val="0"/>
          <w:color w:val="000000"/>
          <w:spacing w:val="0"/>
          <w:sz w:val="32"/>
          <w:szCs w:val="32"/>
          <w:shd w:val="clear" w:fill="FFFFFF"/>
        </w:rPr>
        <w:t>不断完善</w:t>
      </w:r>
      <w:r>
        <w:rPr>
          <w:rStyle w:val="10"/>
          <w:rFonts w:hint="eastAsia" w:ascii="仿宋_GB2312" w:hAnsi="Times New Roman" w:eastAsia="仿宋_GB2312" w:cs="仿宋_GB2312"/>
          <w:i w:val="0"/>
          <w:iCs w:val="0"/>
          <w:caps w:val="0"/>
          <w:color w:val="000000"/>
          <w:spacing w:val="0"/>
          <w:sz w:val="32"/>
          <w:szCs w:val="32"/>
          <w:shd w:val="clear" w:fill="FFFFFF"/>
        </w:rPr>
        <w:t>全过程管理链条。</w:t>
      </w:r>
      <w:r>
        <w:rPr>
          <w:rFonts w:hint="eastAsia" w:ascii="仿宋_GB2312" w:hAnsi="宋体" w:eastAsia="仿宋_GB2312" w:cs="仿宋_GB2312"/>
          <w:i w:val="0"/>
          <w:iCs w:val="0"/>
          <w:caps w:val="0"/>
          <w:color w:val="000000"/>
          <w:spacing w:val="0"/>
          <w:sz w:val="32"/>
          <w:szCs w:val="32"/>
          <w:shd w:val="clear" w:fill="FFFFFF"/>
        </w:rPr>
        <w:t>财政部门和预算部门加强</w:t>
      </w:r>
      <w:r>
        <w:rPr>
          <w:rFonts w:hint="eastAsia" w:ascii="仿宋_GB2312" w:hAnsi="Times New Roman" w:eastAsia="仿宋_GB2312" w:cs="仿宋_GB2312"/>
          <w:i w:val="0"/>
          <w:iCs w:val="0"/>
          <w:caps w:val="0"/>
          <w:color w:val="000000"/>
          <w:spacing w:val="0"/>
          <w:sz w:val="32"/>
          <w:szCs w:val="32"/>
          <w:shd w:val="clear" w:fill="FFFFFF"/>
        </w:rPr>
        <w:t>对新出台重大政策、项目</w:t>
      </w:r>
      <w:r>
        <w:rPr>
          <w:rFonts w:hint="eastAsia" w:ascii="仿宋_GB2312" w:hAnsi="宋体" w:eastAsia="仿宋_GB2312" w:cs="仿宋_GB2312"/>
          <w:i w:val="0"/>
          <w:iCs w:val="0"/>
          <w:caps w:val="0"/>
          <w:color w:val="000000"/>
          <w:spacing w:val="0"/>
          <w:sz w:val="32"/>
          <w:szCs w:val="32"/>
          <w:shd w:val="clear" w:fill="FFFFFF"/>
        </w:rPr>
        <w:t>的</w:t>
      </w:r>
      <w:r>
        <w:rPr>
          <w:rFonts w:hint="eastAsia" w:ascii="仿宋_GB2312" w:hAnsi="Times New Roman" w:eastAsia="仿宋_GB2312" w:cs="仿宋_GB2312"/>
          <w:i w:val="0"/>
          <w:iCs w:val="0"/>
          <w:caps w:val="0"/>
          <w:color w:val="000000"/>
          <w:spacing w:val="0"/>
          <w:sz w:val="32"/>
          <w:szCs w:val="32"/>
          <w:shd w:val="clear" w:fill="FFFFFF"/>
        </w:rPr>
        <w:t>事前绩效评估，将评估结果作为预算安排的重要参考依据。进一步完善绩效指标体系，提升绩效评价力量和</w:t>
      </w:r>
      <w:r>
        <w:rPr>
          <w:rFonts w:hint="eastAsia" w:ascii="仿宋_GB2312" w:hAnsi="宋体" w:eastAsia="仿宋_GB2312" w:cs="仿宋_GB2312"/>
          <w:i w:val="0"/>
          <w:iCs w:val="0"/>
          <w:caps w:val="0"/>
          <w:color w:val="000000"/>
          <w:spacing w:val="0"/>
          <w:sz w:val="32"/>
          <w:szCs w:val="32"/>
          <w:shd w:val="clear" w:fill="FFFFFF"/>
        </w:rPr>
        <w:t>质量</w:t>
      </w:r>
      <w:r>
        <w:rPr>
          <w:rFonts w:hint="eastAsia" w:ascii="仿宋_GB2312" w:hAnsi="Times New Roman" w:eastAsia="仿宋_GB2312" w:cs="仿宋_GB2312"/>
          <w:i w:val="0"/>
          <w:iCs w:val="0"/>
          <w:caps w:val="0"/>
          <w:color w:val="000000"/>
          <w:spacing w:val="0"/>
          <w:sz w:val="32"/>
          <w:szCs w:val="32"/>
          <w:shd w:val="clear" w:fill="FFFFFF"/>
        </w:rPr>
        <w:t>。</w:t>
      </w:r>
    </w:p>
    <w:p>
      <w:pPr>
        <w:pStyle w:val="4"/>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highlight w:val="none"/>
          <w:lang w:val="en-US" w:eastAsia="zh-CN" w:bidi="ar-SA"/>
        </w:rPr>
      </w:pPr>
      <w:r>
        <w:rPr>
          <w:rStyle w:val="10"/>
          <w:rFonts w:hint="eastAsia" w:ascii="仿宋_GB2312" w:hAnsi="Times New Roman" w:eastAsia="仿宋_GB2312" w:cs="仿宋_GB2312"/>
          <w:i w:val="0"/>
          <w:iCs w:val="0"/>
          <w:caps w:val="0"/>
          <w:color w:val="000000"/>
          <w:spacing w:val="0"/>
          <w:sz w:val="32"/>
          <w:szCs w:val="32"/>
          <w:shd w:val="clear" w:fill="FFFFFF"/>
          <w:lang w:eastAsia="zh-CN"/>
        </w:rPr>
        <w:t>三是</w:t>
      </w:r>
      <w:r>
        <w:rPr>
          <w:rStyle w:val="10"/>
          <w:rFonts w:hint="eastAsia" w:ascii="仿宋_GB2312" w:hAnsi="Times New Roman" w:eastAsia="仿宋_GB2312" w:cs="仿宋_GB2312"/>
          <w:i w:val="0"/>
          <w:iCs w:val="0"/>
          <w:caps w:val="0"/>
          <w:color w:val="000000"/>
          <w:spacing w:val="0"/>
          <w:sz w:val="32"/>
          <w:szCs w:val="32"/>
          <w:shd w:val="clear" w:fill="FFFFFF"/>
        </w:rPr>
        <w:t>加快</w:t>
      </w:r>
      <w:r>
        <w:rPr>
          <w:rStyle w:val="10"/>
          <w:rFonts w:hint="eastAsia" w:ascii="仿宋_GB2312" w:hAnsi="微软雅黑" w:eastAsia="仿宋_GB2312" w:cs="仿宋_GB2312"/>
          <w:i w:val="0"/>
          <w:iCs w:val="0"/>
          <w:caps w:val="0"/>
          <w:color w:val="000000"/>
          <w:spacing w:val="0"/>
          <w:sz w:val="32"/>
          <w:szCs w:val="32"/>
          <w:shd w:val="clear" w:fill="FFFFFF"/>
        </w:rPr>
        <w:t>健全</w:t>
      </w:r>
      <w:r>
        <w:rPr>
          <w:rStyle w:val="10"/>
          <w:rFonts w:hint="eastAsia" w:ascii="仿宋_GB2312" w:hAnsi="Times New Roman" w:eastAsia="仿宋_GB2312" w:cs="仿宋_GB2312"/>
          <w:i w:val="0"/>
          <w:iCs w:val="0"/>
          <w:caps w:val="0"/>
          <w:color w:val="000000"/>
          <w:spacing w:val="0"/>
          <w:sz w:val="32"/>
          <w:szCs w:val="32"/>
          <w:shd w:val="clear" w:fill="FFFFFF"/>
        </w:rPr>
        <w:t>全覆盖管理体系。</w:t>
      </w:r>
      <w:r>
        <w:rPr>
          <w:rFonts w:hint="eastAsia" w:ascii="仿宋_GB2312" w:hAnsi="Times New Roman" w:eastAsia="仿宋_GB2312" w:cs="仿宋_GB2312"/>
          <w:i w:val="0"/>
          <w:iCs w:val="0"/>
          <w:caps w:val="0"/>
          <w:color w:val="000000"/>
          <w:spacing w:val="0"/>
          <w:sz w:val="32"/>
          <w:szCs w:val="32"/>
          <w:shd w:val="clear" w:fill="FFFFFF"/>
        </w:rPr>
        <w:t>加强一般公共预算绩效管理，</w:t>
      </w:r>
      <w:r>
        <w:rPr>
          <w:rFonts w:hint="eastAsia" w:ascii="仿宋_GB2312" w:hAnsi="宋体" w:eastAsia="仿宋_GB2312" w:cs="仿宋_GB2312"/>
          <w:i w:val="0"/>
          <w:iCs w:val="0"/>
          <w:caps w:val="0"/>
          <w:color w:val="000000"/>
          <w:spacing w:val="0"/>
          <w:sz w:val="32"/>
          <w:szCs w:val="32"/>
          <w:shd w:val="clear" w:fill="FFFFFF"/>
        </w:rPr>
        <w:t>继续</w:t>
      </w:r>
      <w:r>
        <w:rPr>
          <w:rFonts w:hint="eastAsia" w:ascii="仿宋_GB2312" w:hAnsi="Times New Roman" w:eastAsia="仿宋_GB2312" w:cs="仿宋_GB2312"/>
          <w:i w:val="0"/>
          <w:iCs w:val="0"/>
          <w:caps w:val="0"/>
          <w:color w:val="000000"/>
          <w:spacing w:val="0"/>
          <w:sz w:val="32"/>
          <w:szCs w:val="32"/>
          <w:shd w:val="clear" w:fill="FFFFFF"/>
        </w:rPr>
        <w:t>开展政府投资基金、政府采购、政府购买服务、政府债务项目等绩效管理。</w:t>
      </w:r>
      <w:r>
        <w:rPr>
          <w:rFonts w:hint="eastAsia" w:ascii="仿宋_GB2312" w:hAnsi="宋体" w:eastAsia="仿宋_GB2312" w:cs="仿宋_GB2312"/>
          <w:i w:val="0"/>
          <w:iCs w:val="0"/>
          <w:caps w:val="0"/>
          <w:color w:val="000000"/>
          <w:spacing w:val="0"/>
          <w:sz w:val="32"/>
          <w:szCs w:val="32"/>
          <w:shd w:val="clear" w:fill="FFFFFF"/>
        </w:rPr>
        <w:t>完善</w:t>
      </w:r>
      <w:r>
        <w:rPr>
          <w:rFonts w:hint="eastAsia" w:ascii="仿宋_GB2312" w:hAnsi="Times New Roman" w:eastAsia="仿宋_GB2312" w:cs="仿宋_GB2312"/>
          <w:i w:val="0"/>
          <w:iCs w:val="0"/>
          <w:caps w:val="0"/>
          <w:color w:val="000000"/>
          <w:spacing w:val="0"/>
          <w:sz w:val="32"/>
          <w:szCs w:val="32"/>
          <w:shd w:val="clear" w:fill="FFFFFF"/>
        </w:rPr>
        <w:t>政府性基金预算、国有资本经营预算、社会保险基金预算</w:t>
      </w:r>
      <w:r>
        <w:rPr>
          <w:rFonts w:hint="eastAsia" w:ascii="仿宋_GB2312" w:hAnsi="宋体" w:eastAsia="仿宋_GB2312" w:cs="仿宋_GB2312"/>
          <w:i w:val="0"/>
          <w:iCs w:val="0"/>
          <w:caps w:val="0"/>
          <w:color w:val="000000"/>
          <w:spacing w:val="0"/>
          <w:sz w:val="32"/>
          <w:szCs w:val="32"/>
          <w:shd w:val="clear" w:fill="FFFFFF"/>
        </w:rPr>
        <w:t>的</w:t>
      </w:r>
      <w:r>
        <w:rPr>
          <w:rFonts w:hint="eastAsia" w:ascii="仿宋_GB2312" w:hAnsi="Times New Roman" w:eastAsia="仿宋_GB2312" w:cs="仿宋_GB2312"/>
          <w:i w:val="0"/>
          <w:iCs w:val="0"/>
          <w:caps w:val="0"/>
          <w:color w:val="000000"/>
          <w:spacing w:val="0"/>
          <w:sz w:val="32"/>
          <w:szCs w:val="32"/>
          <w:shd w:val="clear" w:fill="FFFFFF"/>
        </w:rPr>
        <w:t>绩效管理，加强四本预算之间的衔接。</w:t>
      </w:r>
    </w:p>
    <w:p>
      <w:pPr>
        <w:pStyle w:val="4"/>
        <w:keepNext w:val="0"/>
        <w:keepLines w:val="0"/>
        <w:pageBreakBefore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楷体_GB2312" w:hAnsi="楷体_GB2312" w:eastAsia="楷体_GB2312" w:cs="楷体_GB2312"/>
          <w:b/>
          <w:bCs/>
          <w:kern w:val="0"/>
          <w:sz w:val="32"/>
          <w:szCs w:val="32"/>
          <w:highlight w:val="none"/>
          <w:lang w:val="en-US" w:eastAsia="zh-CN" w:bidi="ar-SA"/>
        </w:rPr>
        <w:t>（四）强化风险防控，全力抓统筹、破难题。</w:t>
      </w:r>
      <w:r>
        <w:rPr>
          <w:rFonts w:hint="eastAsia" w:ascii="仿宋_GB2312" w:hAnsi="Times New Roman" w:eastAsia="仿宋_GB2312" w:cs="仿宋_GB2312"/>
          <w:i w:val="0"/>
          <w:iCs w:val="0"/>
          <w:caps w:val="0"/>
          <w:color w:val="000000"/>
          <w:spacing w:val="0"/>
          <w:sz w:val="32"/>
          <w:szCs w:val="32"/>
          <w:shd w:val="clear" w:fill="FFFFFF"/>
        </w:rPr>
        <w:t>有序化解存量债务，逐笔落实偿债资金来源和责任人，抓好化债计划执行。规范政府性投资项目决策和立项，坚决遏制新增隐性债务。加强国有企业举债融资管理和融资资金用途管控，防范偿债风险。</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Style w:val="10"/>
          <w:rFonts w:hint="eastAsia" w:ascii="仿宋_GB2312" w:hAnsi="Times New Roman" w:eastAsia="仿宋_GB2312" w:cs="仿宋_GB2312"/>
          <w:i w:val="0"/>
          <w:iCs w:val="0"/>
          <w:caps w:val="0"/>
          <w:color w:val="000000"/>
          <w:spacing w:val="0"/>
          <w:sz w:val="32"/>
          <w:szCs w:val="32"/>
          <w:shd w:val="clear" w:fill="FFFFFF"/>
          <w:lang w:val="en-US" w:eastAsia="zh-CN"/>
        </w:rPr>
        <w:t>一是紧盯债务风险。</w:t>
      </w:r>
      <w:r>
        <w:rPr>
          <w:rFonts w:hint="eastAsia" w:ascii="仿宋_GB2312" w:hAnsi="Times New Roman" w:eastAsia="仿宋_GB2312" w:cs="Times New Roman"/>
          <w:kern w:val="2"/>
          <w:sz w:val="32"/>
          <w:szCs w:val="32"/>
          <w:highlight w:val="none"/>
          <w:lang w:val="en-US" w:eastAsia="zh-CN" w:bidi="ar-SA"/>
        </w:rPr>
        <w:t>扎实开展防范化解隐性债务风险专项行动，全面梳理排查，制定化解方案，压实主体责任，拓宽化债路径。严格专项债券项目合规性审核和风险把控，做到风险隐患预判在前、防范在前、化解在前，着力化解存量、严防新增，确保风险等级保持在合理区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Style w:val="10"/>
          <w:rFonts w:hint="eastAsia" w:ascii="仿宋_GB2312" w:hAnsi="Times New Roman" w:eastAsia="仿宋_GB2312" w:cs="仿宋_GB2312"/>
          <w:i w:val="0"/>
          <w:iCs w:val="0"/>
          <w:caps w:val="0"/>
          <w:color w:val="000000"/>
          <w:spacing w:val="0"/>
          <w:sz w:val="32"/>
          <w:szCs w:val="32"/>
          <w:shd w:val="clear" w:fill="FFFFFF"/>
          <w:lang w:val="en-US" w:eastAsia="zh-CN"/>
        </w:rPr>
        <w:t>二是紧盯“三保”风险。</w:t>
      </w:r>
      <w:r>
        <w:rPr>
          <w:rFonts w:hint="eastAsia" w:ascii="仿宋_GB2312" w:hAnsi="Times New Roman" w:eastAsia="仿宋_GB2312" w:cs="Times New Roman"/>
          <w:kern w:val="2"/>
          <w:sz w:val="32"/>
          <w:szCs w:val="32"/>
          <w:highlight w:val="none"/>
          <w:lang w:val="en-US" w:eastAsia="zh-CN" w:bidi="ar-SA"/>
        </w:rPr>
        <w:t>坚持优先将“三保”支出足额纳入预算安排，在执行中优先保障，密切关注“三保”运行情况，滚动研判风险，持续完善“三保”执行动态监控和风险预警机制，确保不出现任何问题。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Times New Roman" w:eastAsia="仿宋_GB2312" w:cs="Times New Roman"/>
          <w:kern w:val="2"/>
          <w:sz w:val="32"/>
          <w:szCs w:val="32"/>
          <w:highlight w:val="none"/>
          <w:lang w:val="en-US" w:eastAsia="zh-CN" w:bidi="ar-SA"/>
        </w:rPr>
      </w:pPr>
      <w:r>
        <w:rPr>
          <w:rStyle w:val="10"/>
          <w:rFonts w:hint="eastAsia" w:ascii="仿宋_GB2312" w:hAnsi="Times New Roman" w:cs="仿宋_GB2312"/>
          <w:i w:val="0"/>
          <w:iCs w:val="0"/>
          <w:caps w:val="0"/>
          <w:color w:val="000000"/>
          <w:spacing w:val="0"/>
          <w:sz w:val="31"/>
          <w:szCs w:val="31"/>
          <w:shd w:val="clear" w:fill="FFFFFF"/>
          <w:lang w:eastAsia="zh-CN"/>
        </w:rPr>
        <w:t>三</w:t>
      </w:r>
      <w:r>
        <w:rPr>
          <w:rStyle w:val="10"/>
          <w:rFonts w:hint="eastAsia" w:ascii="仿宋_GB2312" w:cs="仿宋_GB2312"/>
          <w:i w:val="0"/>
          <w:iCs w:val="0"/>
          <w:caps w:val="0"/>
          <w:color w:val="000000"/>
          <w:spacing w:val="0"/>
          <w:sz w:val="31"/>
          <w:szCs w:val="31"/>
          <w:shd w:val="clear" w:fill="FFFFFF"/>
          <w:lang w:eastAsia="zh-CN"/>
        </w:rPr>
        <w:t>是</w:t>
      </w:r>
      <w:r>
        <w:rPr>
          <w:rStyle w:val="10"/>
          <w:rFonts w:ascii="仿宋_GB2312" w:hAnsi="Times New Roman" w:eastAsia="仿宋_GB2312" w:cs="仿宋_GB2312"/>
          <w:i w:val="0"/>
          <w:iCs w:val="0"/>
          <w:caps w:val="0"/>
          <w:color w:val="000000"/>
          <w:spacing w:val="0"/>
          <w:sz w:val="31"/>
          <w:szCs w:val="31"/>
          <w:shd w:val="clear" w:fill="FFFFFF"/>
        </w:rPr>
        <w:t>严防运行风险。</w:t>
      </w:r>
      <w:r>
        <w:rPr>
          <w:rFonts w:hint="eastAsia" w:ascii="仿宋_GB2312" w:hAnsi="Times New Roman" w:eastAsia="仿宋_GB2312" w:cs="仿宋_GB2312"/>
          <w:i w:val="0"/>
          <w:iCs w:val="0"/>
          <w:caps w:val="0"/>
          <w:color w:val="000000"/>
          <w:spacing w:val="0"/>
          <w:sz w:val="31"/>
          <w:szCs w:val="31"/>
          <w:shd w:val="clear" w:fill="FFFFFF"/>
        </w:rPr>
        <w:t>强化财政运行监测预警，对风险隐患早发现早处置。把财政可持续摆在更加突出位置。进一步加快预算执行进度，推动专项资金、债券资金、直达资金尽快落到具体项目和单位，尽早形成实物工作量。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新的一年，市财政局将主动接受人大依法监督和政协民主监督，认真落实市人大及其常委会有关预算决算的决议和审议意见，不断提高预算管理水平。同时，认真听取代表委员意见，及时回应代表委员关切，在加强日常沟通交流、优化预算报告和草案编制等方面下更大功夫，更好支持和服务代表委员依法履职。</w:t>
      </w:r>
    </w:p>
    <w:p>
      <w:pPr>
        <w:keepNext w:val="0"/>
        <w:keepLines w:val="0"/>
        <w:widowControl/>
        <w:suppressLineNumbers w:val="0"/>
        <w:ind w:firstLine="640" w:firstLineChars="200"/>
        <w:jc w:val="left"/>
        <w:rPr>
          <w:rFonts w:hint="eastAsia" w:ascii="仿宋_GB2312" w:eastAsia="仿宋_GB2312"/>
          <w:sz w:val="32"/>
          <w:szCs w:val="32"/>
          <w:highlight w:val="none"/>
        </w:rPr>
      </w:pPr>
      <w:r>
        <w:rPr>
          <w:rFonts w:hint="eastAsia" w:ascii="仿宋_GB2312" w:eastAsia="仿宋_GB2312"/>
          <w:sz w:val="32"/>
          <w:szCs w:val="32"/>
          <w:highlight w:val="none"/>
          <w:lang w:val="en-US" w:eastAsia="zh-CN"/>
        </w:rPr>
        <w:t>各位代表！</w:t>
      </w:r>
      <w:r>
        <w:rPr>
          <w:rFonts w:hint="eastAsia" w:ascii="仿宋_GB2312" w:eastAsia="仿宋_GB2312"/>
          <w:sz w:val="32"/>
          <w:szCs w:val="32"/>
          <w:highlight w:val="none"/>
        </w:rPr>
        <w:t>做好202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年财政工作任务艰巨、责任重大。我们将高举习近平新时代中国特色社会主义思想伟大旗帜，在市委、市政府的坚强领导下</w:t>
      </w:r>
      <w:r>
        <w:rPr>
          <w:rFonts w:hint="eastAsia" w:ascii="仿宋_GB2312" w:eastAsia="仿宋_GB2312"/>
          <w:sz w:val="32"/>
          <w:szCs w:val="32"/>
          <w:highlight w:val="none"/>
          <w:lang w:val="en-US" w:eastAsia="zh-CN"/>
        </w:rPr>
        <w:t>。坚持稳字当头、稳中求进，以昂扬向上、奋发有为的精神状态，</w:t>
      </w:r>
      <w:r>
        <w:rPr>
          <w:rFonts w:hint="eastAsia" w:ascii="仿宋_GB2312" w:eastAsia="仿宋_GB2312"/>
          <w:sz w:val="32"/>
          <w:szCs w:val="32"/>
          <w:highlight w:val="none"/>
        </w:rPr>
        <w:t>凝心聚力、攻坚克难，</w:t>
      </w:r>
      <w:r>
        <w:rPr>
          <w:rFonts w:ascii="仿宋_GB2312" w:hAnsi="宋体" w:eastAsia="仿宋_GB2312" w:cs="仿宋_GB2312"/>
          <w:i w:val="0"/>
          <w:iCs w:val="0"/>
          <w:caps w:val="0"/>
          <w:color w:val="000000"/>
          <w:spacing w:val="0"/>
          <w:sz w:val="31"/>
          <w:szCs w:val="31"/>
          <w:shd w:val="clear" w:fill="FFFFFF"/>
        </w:rPr>
        <w:t>勇毅前行</w:t>
      </w:r>
      <w:r>
        <w:rPr>
          <w:rFonts w:hint="eastAsia" w:ascii="仿宋_GB2312" w:hAnsi="宋体" w:eastAsia="仿宋_GB2312" w:cs="仿宋_GB2312"/>
          <w:i w:val="0"/>
          <w:iCs w:val="0"/>
          <w:caps w:val="0"/>
          <w:color w:val="000000"/>
          <w:spacing w:val="0"/>
          <w:sz w:val="31"/>
          <w:szCs w:val="31"/>
          <w:shd w:val="clear" w:fill="FFFFFF"/>
          <w:lang w:eastAsia="zh-CN"/>
        </w:rPr>
        <w:t>，</w:t>
      </w:r>
      <w:r>
        <w:rPr>
          <w:rFonts w:hint="eastAsia" w:ascii="仿宋_GB2312" w:eastAsia="仿宋_GB2312"/>
          <w:sz w:val="32"/>
          <w:szCs w:val="32"/>
          <w:highlight w:val="none"/>
        </w:rPr>
        <w:t>为建设中部地区“四个示范区”，为谱写中国式现代化共青城</w:t>
      </w:r>
      <w:r>
        <w:rPr>
          <w:rFonts w:hint="eastAsia" w:ascii="仿宋_GB2312" w:eastAsia="仿宋_GB2312"/>
          <w:sz w:val="32"/>
          <w:szCs w:val="32"/>
          <w:highlight w:val="none"/>
          <w:lang w:val="en-US" w:eastAsia="zh-CN"/>
        </w:rPr>
        <w:t>篇章夯实财力保障！</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1"/>
                              <w:rFonts w:ascii="仿宋_GB2312" w:cs="仿宋_GB2312"/>
                              <w:sz w:val="28"/>
                              <w:szCs w:val="28"/>
                            </w:rPr>
                          </w:pPr>
                          <w:r>
                            <w:rPr>
                              <w:rStyle w:val="11"/>
                              <w:rFonts w:ascii="仿宋_GB2312" w:cs="仿宋_GB2312"/>
                              <w:sz w:val="28"/>
                              <w:szCs w:val="28"/>
                            </w:rPr>
                            <w:fldChar w:fldCharType="begin"/>
                          </w:r>
                          <w:r>
                            <w:rPr>
                              <w:rStyle w:val="11"/>
                              <w:rFonts w:ascii="仿宋_GB2312" w:cs="仿宋_GB2312"/>
                              <w:sz w:val="28"/>
                              <w:szCs w:val="28"/>
                            </w:rPr>
                            <w:instrText xml:space="preserve">PAGE  </w:instrText>
                          </w:r>
                          <w:r>
                            <w:rPr>
                              <w:rStyle w:val="11"/>
                              <w:rFonts w:ascii="仿宋_GB2312" w:cs="仿宋_GB2312"/>
                              <w:sz w:val="28"/>
                              <w:szCs w:val="28"/>
                            </w:rPr>
                            <w:fldChar w:fldCharType="separate"/>
                          </w:r>
                          <w:r>
                            <w:rPr>
                              <w:rStyle w:val="11"/>
                              <w:rFonts w:ascii="仿宋_GB2312" w:cs="仿宋_GB2312"/>
                              <w:sz w:val="28"/>
                              <w:szCs w:val="28"/>
                            </w:rPr>
                            <w:t>4</w:t>
                          </w:r>
                          <w:r>
                            <w:rPr>
                              <w:rStyle w:val="11"/>
                              <w:rFonts w:ascii="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5"/>
                      <w:rPr>
                        <w:rStyle w:val="11"/>
                        <w:rFonts w:ascii="仿宋_GB2312" w:cs="仿宋_GB2312"/>
                        <w:sz w:val="28"/>
                        <w:szCs w:val="28"/>
                      </w:rPr>
                    </w:pPr>
                    <w:r>
                      <w:rPr>
                        <w:rStyle w:val="11"/>
                        <w:rFonts w:ascii="仿宋_GB2312" w:cs="仿宋_GB2312"/>
                        <w:sz w:val="28"/>
                        <w:szCs w:val="28"/>
                      </w:rPr>
                      <w:fldChar w:fldCharType="begin"/>
                    </w:r>
                    <w:r>
                      <w:rPr>
                        <w:rStyle w:val="11"/>
                        <w:rFonts w:ascii="仿宋_GB2312" w:cs="仿宋_GB2312"/>
                        <w:sz w:val="28"/>
                        <w:szCs w:val="28"/>
                      </w:rPr>
                      <w:instrText xml:space="preserve">PAGE  </w:instrText>
                    </w:r>
                    <w:r>
                      <w:rPr>
                        <w:rStyle w:val="11"/>
                        <w:rFonts w:ascii="仿宋_GB2312" w:cs="仿宋_GB2312"/>
                        <w:sz w:val="28"/>
                        <w:szCs w:val="28"/>
                      </w:rPr>
                      <w:fldChar w:fldCharType="separate"/>
                    </w:r>
                    <w:r>
                      <w:rPr>
                        <w:rStyle w:val="11"/>
                        <w:rFonts w:ascii="仿宋_GB2312" w:cs="仿宋_GB2312"/>
                        <w:sz w:val="28"/>
                        <w:szCs w:val="28"/>
                      </w:rPr>
                      <w:t>4</w:t>
                    </w:r>
                    <w:r>
                      <w:rPr>
                        <w:rStyle w:val="11"/>
                        <w:rFonts w:ascii="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AC606"/>
    <w:multiLevelType w:val="singleLevel"/>
    <w:tmpl w:val="38CAC60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YzAxNjQwMTQ5ZGZkN2Q4ODgzY2Q5NTBkMmNiNjkifQ=="/>
    <w:docVar w:name="KSO_WPS_MARK_KEY" w:val="f8902fe7-5c12-4b7b-8aed-23d3337966e4"/>
  </w:docVars>
  <w:rsids>
    <w:rsidRoot w:val="73175199"/>
    <w:rsid w:val="00A16BE5"/>
    <w:rsid w:val="018C519F"/>
    <w:rsid w:val="02F94AB6"/>
    <w:rsid w:val="032633D2"/>
    <w:rsid w:val="038C6A04"/>
    <w:rsid w:val="05255B1D"/>
    <w:rsid w:val="05EF03F3"/>
    <w:rsid w:val="097F383C"/>
    <w:rsid w:val="0CB97065"/>
    <w:rsid w:val="0CF4009D"/>
    <w:rsid w:val="0E3966AF"/>
    <w:rsid w:val="0EEC54CF"/>
    <w:rsid w:val="100E76C7"/>
    <w:rsid w:val="104D4694"/>
    <w:rsid w:val="105477D0"/>
    <w:rsid w:val="11C75D80"/>
    <w:rsid w:val="11EC3A38"/>
    <w:rsid w:val="11EE5A02"/>
    <w:rsid w:val="128F4AEF"/>
    <w:rsid w:val="12B75DF4"/>
    <w:rsid w:val="14045069"/>
    <w:rsid w:val="153B27D4"/>
    <w:rsid w:val="1626601A"/>
    <w:rsid w:val="166444E5"/>
    <w:rsid w:val="178D794F"/>
    <w:rsid w:val="18567E5D"/>
    <w:rsid w:val="18D929F2"/>
    <w:rsid w:val="193E59E7"/>
    <w:rsid w:val="1C6A3ED7"/>
    <w:rsid w:val="1C907DE2"/>
    <w:rsid w:val="1CDF4FEF"/>
    <w:rsid w:val="1D053AEE"/>
    <w:rsid w:val="1D0E00CA"/>
    <w:rsid w:val="1D9E208B"/>
    <w:rsid w:val="1F817EB6"/>
    <w:rsid w:val="1FDF698A"/>
    <w:rsid w:val="205253AE"/>
    <w:rsid w:val="21313216"/>
    <w:rsid w:val="21555156"/>
    <w:rsid w:val="21D544E9"/>
    <w:rsid w:val="21F24FD3"/>
    <w:rsid w:val="22121299"/>
    <w:rsid w:val="22E744D4"/>
    <w:rsid w:val="22FB2B87"/>
    <w:rsid w:val="2423778D"/>
    <w:rsid w:val="24344A48"/>
    <w:rsid w:val="243E0123"/>
    <w:rsid w:val="24D81D55"/>
    <w:rsid w:val="254A0D4A"/>
    <w:rsid w:val="264B6B28"/>
    <w:rsid w:val="267C13D7"/>
    <w:rsid w:val="26A34BB6"/>
    <w:rsid w:val="273870AC"/>
    <w:rsid w:val="27AC7A9A"/>
    <w:rsid w:val="27FA6A57"/>
    <w:rsid w:val="28745BEF"/>
    <w:rsid w:val="28C36E49"/>
    <w:rsid w:val="29361D11"/>
    <w:rsid w:val="29BB2216"/>
    <w:rsid w:val="2A1C0F07"/>
    <w:rsid w:val="2A9D2C76"/>
    <w:rsid w:val="2D5E35E4"/>
    <w:rsid w:val="2D6D3827"/>
    <w:rsid w:val="2D984D48"/>
    <w:rsid w:val="2DDD6BFF"/>
    <w:rsid w:val="2E626942"/>
    <w:rsid w:val="2EF71D32"/>
    <w:rsid w:val="2F212B1B"/>
    <w:rsid w:val="2FA5374C"/>
    <w:rsid w:val="2FBD0248"/>
    <w:rsid w:val="30654C8A"/>
    <w:rsid w:val="30810240"/>
    <w:rsid w:val="31172428"/>
    <w:rsid w:val="31E7004C"/>
    <w:rsid w:val="32342B66"/>
    <w:rsid w:val="333F17C2"/>
    <w:rsid w:val="34757B91"/>
    <w:rsid w:val="34D0301A"/>
    <w:rsid w:val="35E84393"/>
    <w:rsid w:val="35FA31B9"/>
    <w:rsid w:val="35FB2318"/>
    <w:rsid w:val="367D2D2D"/>
    <w:rsid w:val="374C2700"/>
    <w:rsid w:val="37A8202C"/>
    <w:rsid w:val="37F214F9"/>
    <w:rsid w:val="37FF7772"/>
    <w:rsid w:val="384D4981"/>
    <w:rsid w:val="38684145"/>
    <w:rsid w:val="38D62BC9"/>
    <w:rsid w:val="38EC5F48"/>
    <w:rsid w:val="38F20D7C"/>
    <w:rsid w:val="3AC0143A"/>
    <w:rsid w:val="3B723E0C"/>
    <w:rsid w:val="3B7C1525"/>
    <w:rsid w:val="3BFC2946"/>
    <w:rsid w:val="3D7F382F"/>
    <w:rsid w:val="3DAC214A"/>
    <w:rsid w:val="3DCB6A74"/>
    <w:rsid w:val="3DD551FD"/>
    <w:rsid w:val="3DEC0798"/>
    <w:rsid w:val="3ECA2888"/>
    <w:rsid w:val="3F6224D1"/>
    <w:rsid w:val="3F9B47D3"/>
    <w:rsid w:val="3FE51083"/>
    <w:rsid w:val="408B6047"/>
    <w:rsid w:val="41656898"/>
    <w:rsid w:val="4182744A"/>
    <w:rsid w:val="41E225DE"/>
    <w:rsid w:val="422E312E"/>
    <w:rsid w:val="430345BA"/>
    <w:rsid w:val="44384737"/>
    <w:rsid w:val="446612A5"/>
    <w:rsid w:val="45507519"/>
    <w:rsid w:val="462036D5"/>
    <w:rsid w:val="46D57EDF"/>
    <w:rsid w:val="477E4B57"/>
    <w:rsid w:val="47D76015"/>
    <w:rsid w:val="48455675"/>
    <w:rsid w:val="48DC7D87"/>
    <w:rsid w:val="49170DBF"/>
    <w:rsid w:val="49221512"/>
    <w:rsid w:val="49B33C83"/>
    <w:rsid w:val="49D56585"/>
    <w:rsid w:val="49DA3B9B"/>
    <w:rsid w:val="4A3E412A"/>
    <w:rsid w:val="4A4F4589"/>
    <w:rsid w:val="4A9A02DD"/>
    <w:rsid w:val="4B245A16"/>
    <w:rsid w:val="4BA34B8C"/>
    <w:rsid w:val="4BC62629"/>
    <w:rsid w:val="4BEF7DD1"/>
    <w:rsid w:val="4C8A7AFA"/>
    <w:rsid w:val="4D2E492A"/>
    <w:rsid w:val="4DD27D8A"/>
    <w:rsid w:val="4E9C3B15"/>
    <w:rsid w:val="4F6603AB"/>
    <w:rsid w:val="4FA964E9"/>
    <w:rsid w:val="506928F1"/>
    <w:rsid w:val="50817879"/>
    <w:rsid w:val="50BD049E"/>
    <w:rsid w:val="50E05F3B"/>
    <w:rsid w:val="52214A5D"/>
    <w:rsid w:val="522462FB"/>
    <w:rsid w:val="525A3ACB"/>
    <w:rsid w:val="527E527E"/>
    <w:rsid w:val="52F57C29"/>
    <w:rsid w:val="54AE0C65"/>
    <w:rsid w:val="550A17D8"/>
    <w:rsid w:val="56310FE7"/>
    <w:rsid w:val="56BE6D1E"/>
    <w:rsid w:val="57D46C50"/>
    <w:rsid w:val="583B614D"/>
    <w:rsid w:val="58EB36CF"/>
    <w:rsid w:val="59AF0EB1"/>
    <w:rsid w:val="59B61F2F"/>
    <w:rsid w:val="59F44805"/>
    <w:rsid w:val="5B555777"/>
    <w:rsid w:val="5CB63FF4"/>
    <w:rsid w:val="5CF45066"/>
    <w:rsid w:val="5D5932FD"/>
    <w:rsid w:val="5D635F29"/>
    <w:rsid w:val="5DBC6256"/>
    <w:rsid w:val="5EAA5DDA"/>
    <w:rsid w:val="5F100333"/>
    <w:rsid w:val="5FA12D39"/>
    <w:rsid w:val="5FE570CA"/>
    <w:rsid w:val="60956D42"/>
    <w:rsid w:val="61504A17"/>
    <w:rsid w:val="61E57855"/>
    <w:rsid w:val="628C7CD0"/>
    <w:rsid w:val="629848C7"/>
    <w:rsid w:val="6299063F"/>
    <w:rsid w:val="62E53885"/>
    <w:rsid w:val="635051A2"/>
    <w:rsid w:val="63A952C8"/>
    <w:rsid w:val="653B5337"/>
    <w:rsid w:val="6646288C"/>
    <w:rsid w:val="665A00E6"/>
    <w:rsid w:val="66AA2E1B"/>
    <w:rsid w:val="6703077D"/>
    <w:rsid w:val="68470524"/>
    <w:rsid w:val="68BB30BE"/>
    <w:rsid w:val="698A76E3"/>
    <w:rsid w:val="698C01EC"/>
    <w:rsid w:val="69EB79D2"/>
    <w:rsid w:val="6AD20B92"/>
    <w:rsid w:val="6B6C069F"/>
    <w:rsid w:val="6BF049DA"/>
    <w:rsid w:val="6C4433CA"/>
    <w:rsid w:val="6CAF12FD"/>
    <w:rsid w:val="6CAF6E90"/>
    <w:rsid w:val="6CD96208"/>
    <w:rsid w:val="6E533D98"/>
    <w:rsid w:val="6E5518BE"/>
    <w:rsid w:val="6EC9405A"/>
    <w:rsid w:val="6F6D0E8A"/>
    <w:rsid w:val="6FB24AEE"/>
    <w:rsid w:val="6FE078AE"/>
    <w:rsid w:val="70A95EF1"/>
    <w:rsid w:val="7113780F"/>
    <w:rsid w:val="71E76CD1"/>
    <w:rsid w:val="7270316B"/>
    <w:rsid w:val="72A20E4A"/>
    <w:rsid w:val="73175199"/>
    <w:rsid w:val="7346211D"/>
    <w:rsid w:val="751D0C5C"/>
    <w:rsid w:val="753529D7"/>
    <w:rsid w:val="753A7A60"/>
    <w:rsid w:val="756920F3"/>
    <w:rsid w:val="764D37C3"/>
    <w:rsid w:val="771147F0"/>
    <w:rsid w:val="78236589"/>
    <w:rsid w:val="7AEA1A93"/>
    <w:rsid w:val="7B0501C8"/>
    <w:rsid w:val="7B362A78"/>
    <w:rsid w:val="7B7517F2"/>
    <w:rsid w:val="7BA06143"/>
    <w:rsid w:val="7CE34539"/>
    <w:rsid w:val="7D1B668E"/>
    <w:rsid w:val="7D6E02A7"/>
    <w:rsid w:val="7DBF6D54"/>
    <w:rsid w:val="7DC720AD"/>
    <w:rsid w:val="7E971A7F"/>
    <w:rsid w:val="7EDE76AE"/>
    <w:rsid w:val="7EF02F3D"/>
    <w:rsid w:val="7F3E1EFB"/>
    <w:rsid w:val="7F941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sz w:val="32"/>
      <w:szCs w:val="24"/>
    </w:rPr>
  </w:style>
  <w:style w:type="paragraph" w:styleId="3">
    <w:name w:val="Body Text First Indent"/>
    <w:basedOn w:val="2"/>
    <w:qFormat/>
    <w:uiPriority w:val="0"/>
    <w:pPr>
      <w:ind w:firstLine="420" w:firstLineChars="100"/>
    </w:pPr>
  </w:style>
  <w:style w:type="paragraph" w:styleId="4">
    <w:name w:val="Body Text Indent 2"/>
    <w:basedOn w:val="1"/>
    <w:qFormat/>
    <w:uiPriority w:val="99"/>
    <w:pPr>
      <w:spacing w:after="120" w:line="480" w:lineRule="auto"/>
      <w:ind w:left="420" w:leftChars="200" w:firstLine="200" w:firstLineChars="200"/>
    </w:pPr>
    <w:rPr>
      <w:rFonts w:eastAsia="仿宋_GB2312"/>
    </w:rPr>
  </w:style>
  <w:style w:type="paragraph" w:styleId="5">
    <w:name w:val="footer"/>
    <w:basedOn w:val="1"/>
    <w:qFormat/>
    <w:uiPriority w:val="99"/>
    <w:pPr>
      <w:tabs>
        <w:tab w:val="center" w:pos="4153"/>
        <w:tab w:val="right" w:pos="8306"/>
      </w:tabs>
      <w:jc w:val="left"/>
    </w:pPr>
    <w:rPr>
      <w:sz w:val="18"/>
      <w:szCs w:val="18"/>
    </w:rPr>
  </w:style>
  <w:style w:type="paragraph" w:styleId="6">
    <w:name w:val="header"/>
    <w:basedOn w:val="1"/>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page number"/>
    <w:basedOn w:val="9"/>
    <w:qFormat/>
    <w:uiPriority w:val="99"/>
    <w:rPr>
      <w:rFonts w:cs="Times New Roman"/>
    </w:rPr>
  </w:style>
  <w:style w:type="paragraph" w:customStyle="1" w:styleId="12">
    <w:name w:val="CM36"/>
    <w:basedOn w:val="13"/>
    <w:next w:val="13"/>
    <w:qFormat/>
    <w:uiPriority w:val="99"/>
    <w:rPr>
      <w:rFonts w:cs="Times New Roman"/>
      <w:color w:val="auto"/>
    </w:rPr>
  </w:style>
  <w:style w:type="paragraph" w:customStyle="1" w:styleId="13">
    <w:name w:val="Default"/>
    <w:qFormat/>
    <w:uiPriority w:val="0"/>
    <w:pPr>
      <w:widowControl w:val="0"/>
      <w:autoSpaceDE w:val="0"/>
      <w:autoSpaceDN w:val="0"/>
      <w:adjustRightInd w:val="0"/>
    </w:pPr>
    <w:rPr>
      <w:rFonts w:ascii="方正楷体_GBK" w:hAnsi="Calibri" w:eastAsia="方正楷体_GBK" w:cs="方正楷体_GBK"/>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6431</Words>
  <Characters>7428</Characters>
  <Lines>0</Lines>
  <Paragraphs>0</Paragraphs>
  <TotalTime>1</TotalTime>
  <ScaleCrop>false</ScaleCrop>
  <LinksUpToDate>false</LinksUpToDate>
  <CharactersWithSpaces>7504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2022-01-12T09:40:00Z</dcterms:created>
  <dc:creator>Administrator</dc:creator>
  <cp:lastModifiedBy>肖婷</cp:lastModifiedBy>
  <cp:lastPrinted>2024-01-11T00:10:00Z</cp:lastPrinted>
  <dcterms:modified xsi:type="dcterms:W3CDTF">2024-03-06T01:17:13Z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8AEE5438DFB0408A8E294D3BF4AEBD83</vt:lpwstr>
  </property>
</Properties>
</file>