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i w:val="0"/>
          <w:iCs w:val="0"/>
          <w:color w:val="000000"/>
          <w:kern w:val="0"/>
          <w:sz w:val="30"/>
          <w:szCs w:val="30"/>
          <w:u w:val="none"/>
          <w:lang w:val="en-US" w:eastAsia="zh-CN" w:bidi="ar"/>
        </w:rPr>
      </w:pPr>
      <w:bookmarkStart w:id="0" w:name="_GoBack"/>
      <w:bookmarkEnd w:id="0"/>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1"/>
        <w:gridCol w:w="2021"/>
        <w:gridCol w:w="2021"/>
        <w:gridCol w:w="2030"/>
        <w:gridCol w:w="2024"/>
        <w:gridCol w:w="2024"/>
        <w:gridCol w:w="2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2023年地方政府债务限额及余额情况表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5"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3"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地   区</w:t>
            </w:r>
          </w:p>
        </w:tc>
        <w:tc>
          <w:tcPr>
            <w:tcW w:w="2142" w:type="pct"/>
            <w:gridSpan w:val="3"/>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2023年债务限额</w:t>
            </w:r>
          </w:p>
        </w:tc>
        <w:tc>
          <w:tcPr>
            <w:tcW w:w="2143" w:type="pct"/>
            <w:gridSpan w:val="3"/>
            <w:tcBorders>
              <w:top w:val="single" w:color="000000" w:sz="8" w:space="0"/>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2023年债务余额预计执行数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3"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3" w:type="pct"/>
            <w:tcBorders>
              <w:top w:val="nil"/>
              <w:left w:val="nil"/>
              <w:bottom w:val="single" w:color="000000" w:sz="8"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713"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一般债务</w:t>
            </w:r>
          </w:p>
        </w:tc>
        <w:tc>
          <w:tcPr>
            <w:tcW w:w="714" w:type="pc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专项债务</w:t>
            </w:r>
          </w:p>
        </w:tc>
        <w:tc>
          <w:tcPr>
            <w:tcW w:w="714" w:type="pct"/>
            <w:tcBorders>
              <w:top w:val="nil"/>
              <w:left w:val="nil"/>
              <w:bottom w:val="single" w:color="000000" w:sz="8" w:space="0"/>
              <w:right w:val="nil"/>
            </w:tcBorders>
            <w:shd w:val="clear" w:color="auto" w:fill="auto"/>
            <w:vAlign w:val="center"/>
          </w:tcPr>
          <w:p>
            <w:pPr>
              <w:rPr>
                <w:rFonts w:hint="eastAsia" w:ascii="宋体" w:hAnsi="宋体" w:eastAsia="宋体" w:cs="宋体"/>
                <w:b/>
                <w:bCs/>
                <w:i w:val="0"/>
                <w:iCs w:val="0"/>
                <w:color w:val="000000"/>
                <w:sz w:val="22"/>
                <w:szCs w:val="22"/>
                <w:u w:val="none"/>
              </w:rPr>
            </w:pPr>
          </w:p>
        </w:tc>
        <w:tc>
          <w:tcPr>
            <w:tcW w:w="714"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一般债务</w:t>
            </w:r>
          </w:p>
        </w:tc>
        <w:tc>
          <w:tcPr>
            <w:tcW w:w="715" w:type="pct"/>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专项债务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3" w:type="pct"/>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  式</w:t>
            </w:r>
          </w:p>
        </w:tc>
        <w:tc>
          <w:tcPr>
            <w:tcW w:w="71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A=B+C</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B</w:t>
            </w:r>
          </w:p>
        </w:tc>
        <w:tc>
          <w:tcPr>
            <w:tcW w:w="714"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C</w:t>
            </w:r>
          </w:p>
        </w:tc>
        <w:tc>
          <w:tcPr>
            <w:tcW w:w="71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D=E+F</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E</w:t>
            </w:r>
          </w:p>
        </w:tc>
        <w:tc>
          <w:tcPr>
            <w:tcW w:w="71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3" w:type="pct"/>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共青城市</w:t>
            </w:r>
          </w:p>
        </w:tc>
        <w:tc>
          <w:tcPr>
            <w:tcW w:w="71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75.72</w:t>
            </w:r>
          </w:p>
        </w:tc>
        <w:tc>
          <w:tcPr>
            <w:tcW w:w="713"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24.93</w:t>
            </w:r>
          </w:p>
        </w:tc>
        <w:tc>
          <w:tcPr>
            <w:tcW w:w="714" w:type="pct"/>
            <w:tcBorders>
              <w:top w:val="nil"/>
              <w:left w:val="single" w:color="000000" w:sz="4" w:space="0"/>
              <w:bottom w:val="nil"/>
              <w:right w:val="single" w:color="000000" w:sz="8"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50.80</w:t>
            </w:r>
          </w:p>
        </w:tc>
        <w:tc>
          <w:tcPr>
            <w:tcW w:w="71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74.33</w:t>
            </w:r>
          </w:p>
        </w:tc>
        <w:tc>
          <w:tcPr>
            <w:tcW w:w="71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24.18</w:t>
            </w:r>
          </w:p>
        </w:tc>
        <w:tc>
          <w:tcPr>
            <w:tcW w:w="715"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7"/>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注：1.本表反映上一年度本地区、本级及分地区地方政府债务限额及余额预计执行数。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2.本表由县级以上地方各级财政部门在同级人民代表大会批准预算后二十日内公开。</w:t>
            </w:r>
          </w:p>
        </w:tc>
      </w:tr>
    </w:tbl>
    <w:p>
      <w:pPr>
        <w:rPr>
          <w:rFonts w:ascii="宋体" w:hAnsi="宋体" w:eastAsia="宋体" w:cs="宋体"/>
          <w:b/>
          <w:bCs/>
          <w:i w:val="0"/>
          <w:iCs w:val="0"/>
          <w:color w:val="000000"/>
          <w:kern w:val="0"/>
          <w:sz w:val="30"/>
          <w:szCs w:val="30"/>
          <w:u w:val="none"/>
          <w:lang w:val="en-US" w:eastAsia="zh-CN" w:bidi="ar"/>
        </w:rPr>
      </w:pPr>
    </w:p>
    <w:p>
      <w:pPr>
        <w:rPr>
          <w:rFonts w:ascii="宋体" w:hAnsi="宋体" w:eastAsia="宋体" w:cs="宋体"/>
          <w:b/>
          <w:bCs/>
          <w:i w:val="0"/>
          <w:iCs w:val="0"/>
          <w:color w:val="000000"/>
          <w:kern w:val="0"/>
          <w:sz w:val="30"/>
          <w:szCs w:val="30"/>
          <w:u w:val="none"/>
          <w:lang w:val="en-US" w:eastAsia="zh-CN" w:bidi="ar"/>
        </w:rPr>
      </w:pPr>
      <w:r>
        <w:rPr>
          <w:rFonts w:ascii="宋体" w:hAnsi="宋体" w:eastAsia="宋体" w:cs="宋体"/>
          <w:b/>
          <w:bCs/>
          <w:i w:val="0"/>
          <w:iCs w:val="0"/>
          <w:color w:val="000000"/>
          <w:kern w:val="0"/>
          <w:sz w:val="30"/>
          <w:szCs w:val="30"/>
          <w:u w:val="none"/>
          <w:lang w:val="en-US" w:eastAsia="zh-CN" w:bidi="ar"/>
        </w:rPr>
        <w:br w:type="page"/>
      </w:r>
    </w:p>
    <w:p>
      <w:pPr>
        <w:keepNext w:val="0"/>
        <w:keepLines w:val="0"/>
        <w:widowControl/>
        <w:suppressLineNumbers w:val="0"/>
        <w:jc w:val="both"/>
        <w:textAlignment w:val="center"/>
        <w:rPr>
          <w:rFonts w:ascii="宋体" w:hAnsi="宋体" w:eastAsia="宋体" w:cs="宋体"/>
          <w:b/>
          <w:bCs/>
          <w:i w:val="0"/>
          <w:iCs w:val="0"/>
          <w:color w:val="000000"/>
          <w:kern w:val="0"/>
          <w:sz w:val="30"/>
          <w:szCs w:val="30"/>
          <w:u w:val="none"/>
          <w:lang w:val="en-US" w:eastAsia="zh-CN" w:bidi="ar"/>
        </w:rPr>
      </w:pPr>
    </w:p>
    <w:tbl>
      <w:tblPr>
        <w:tblStyle w:val="2"/>
        <w:tblW w:w="11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7"/>
        <w:gridCol w:w="2914"/>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1659"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共青城市2023年地方政府一般债务余额情况表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6139"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915"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2605" w:type="dxa"/>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一、2022年末地方政府一般债务余额实际数</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二、2023年末地方政府一般债务余额限额</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24.93</w:t>
            </w:r>
          </w:p>
        </w:tc>
        <w:tc>
          <w:tcPr>
            <w:tcW w:w="26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三、2023年地方政府一般债务发行额</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中央转贷地方的国际金融组织和外国政府贷款</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2023年地方政府一般债券发行额</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四、2023年地方政府一般债务还本额</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五、2023年末地方政府一般债务余额预计执行数</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六、2024年地方财政赤字</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0.60</w:t>
            </w:r>
          </w:p>
        </w:tc>
        <w:tc>
          <w:tcPr>
            <w:tcW w:w="26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七、2024年地方政府一般债务余额限额</w:t>
            </w:r>
          </w:p>
        </w:tc>
        <w:tc>
          <w:tcPr>
            <w:tcW w:w="29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25.53</w:t>
            </w:r>
          </w:p>
        </w:tc>
        <w:tc>
          <w:tcPr>
            <w:tcW w:w="2605" w:type="dxa"/>
            <w:tcBorders>
              <w:top w:val="nil"/>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bl>
    <w:p>
      <w:r>
        <w:br w:type="page"/>
      </w:r>
    </w:p>
    <w:tbl>
      <w:tblPr>
        <w:tblStyle w:val="2"/>
        <w:tblW w:w="11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7"/>
        <w:gridCol w:w="2914"/>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1659"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共青城市2023年地方政府专项债务余额情况表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6139"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915"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2605" w:type="dxa"/>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一、2022年末地方政府专项债务余额实际数</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二、2023年末地方政府专项债务余额限额</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50.80</w:t>
            </w:r>
          </w:p>
        </w:tc>
        <w:tc>
          <w:tcPr>
            <w:tcW w:w="26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三、2023年地方政府专项债务发行额</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四、2023年地方政府专项债务还本额</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五、2023年末地方政府专项债务余额预计执行数</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六、2024年地方政府专项债务新增限额</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3.79</w:t>
            </w:r>
          </w:p>
        </w:tc>
        <w:tc>
          <w:tcPr>
            <w:tcW w:w="26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1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七、2024年末地方政府专项债务余额限额</w:t>
            </w:r>
          </w:p>
        </w:tc>
        <w:tc>
          <w:tcPr>
            <w:tcW w:w="29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54.59</w:t>
            </w:r>
          </w:p>
        </w:tc>
        <w:tc>
          <w:tcPr>
            <w:tcW w:w="2605" w:type="dxa"/>
            <w:tcBorders>
              <w:top w:val="nil"/>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bl>
    <w:p>
      <w:r>
        <w:br w:type="page"/>
      </w:r>
    </w:p>
    <w:tbl>
      <w:tblPr>
        <w:tblStyle w:val="2"/>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6"/>
        <w:gridCol w:w="2246"/>
        <w:gridCol w:w="3468"/>
        <w:gridCol w:w="2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2023年</w:t>
            </w:r>
            <w:r>
              <w:rPr>
                <w:rFonts w:ascii="宋体" w:hAnsi="宋体" w:eastAsia="宋体" w:cs="宋体"/>
                <w:b/>
                <w:bCs/>
                <w:i w:val="0"/>
                <w:iCs w:val="0"/>
                <w:color w:val="000000"/>
                <w:kern w:val="0"/>
                <w:sz w:val="30"/>
                <w:szCs w:val="30"/>
                <w:u w:val="none"/>
                <w:lang w:val="en-US" w:eastAsia="zh-CN" w:bidi="ar"/>
              </w:rPr>
              <w:t>地方政府债券发行及还本付息情况表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656"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24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公式</w:t>
            </w:r>
          </w:p>
        </w:tc>
        <w:tc>
          <w:tcPr>
            <w:tcW w:w="346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2995"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一、2023年发行预计执行数</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A=B+D</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15.89</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2.72</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13.17</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2.68</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二、2023年还本预计执行数</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F=G+H</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4.01</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G</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H</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2.68</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三、2023年付息预计执行数</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I=J+K</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2.12</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0.72</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K</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1.40</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注：1.本表反映本地区和本级上一年度地方政府债券（含再融资债券）发行及还本付息预计执行数、本年度地方政府债券还本付息预算数等。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2.本表由县级以上地方各级财政部门在本级人民代表大会批准预算后二十日内公开。</w:t>
            </w:r>
          </w:p>
        </w:tc>
      </w:tr>
    </w:tbl>
    <w:p>
      <w:pPr>
        <w:rPr>
          <w:rFonts w:ascii="宋体" w:hAnsi="宋体" w:eastAsia="宋体" w:cs="宋体"/>
          <w:b/>
          <w:bCs/>
          <w:i w:val="0"/>
          <w:iCs w:val="0"/>
          <w:color w:val="000000"/>
          <w:kern w:val="0"/>
          <w:sz w:val="30"/>
          <w:szCs w:val="30"/>
          <w:u w:val="none"/>
          <w:lang w:val="en-US" w:eastAsia="zh-CN" w:bidi="ar"/>
        </w:rPr>
      </w:pPr>
      <w:r>
        <w:rPr>
          <w:rFonts w:ascii="宋体" w:hAnsi="宋体" w:eastAsia="宋体" w:cs="宋体"/>
          <w:b/>
          <w:bCs/>
          <w:i w:val="0"/>
          <w:iCs w:val="0"/>
          <w:color w:val="000000"/>
          <w:kern w:val="0"/>
          <w:sz w:val="30"/>
          <w:szCs w:val="30"/>
          <w:u w:val="none"/>
          <w:lang w:val="en-US" w:eastAsia="zh-CN" w:bidi="ar"/>
        </w:rPr>
        <w:br w:type="page"/>
      </w:r>
    </w:p>
    <w:tbl>
      <w:tblPr>
        <w:tblStyle w:val="2"/>
        <w:tblW w:w="133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6"/>
        <w:gridCol w:w="2246"/>
        <w:gridCol w:w="3468"/>
        <w:gridCol w:w="2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2024年</w:t>
            </w:r>
            <w:r>
              <w:rPr>
                <w:rFonts w:ascii="宋体" w:hAnsi="宋体" w:eastAsia="宋体" w:cs="宋体"/>
                <w:b/>
                <w:bCs/>
                <w:i w:val="0"/>
                <w:iCs w:val="0"/>
                <w:color w:val="000000"/>
                <w:kern w:val="0"/>
                <w:sz w:val="30"/>
                <w:szCs w:val="30"/>
                <w:u w:val="none"/>
                <w:lang w:val="en-US" w:eastAsia="zh-CN" w:bidi="ar"/>
              </w:rPr>
              <w:t>地方政府债券还本付息</w:t>
            </w:r>
            <w:r>
              <w:rPr>
                <w:rFonts w:hint="eastAsia" w:ascii="宋体" w:hAnsi="宋体" w:eastAsia="宋体" w:cs="宋体"/>
                <w:b/>
                <w:bCs/>
                <w:i w:val="0"/>
                <w:iCs w:val="0"/>
                <w:color w:val="000000"/>
                <w:kern w:val="0"/>
                <w:sz w:val="30"/>
                <w:szCs w:val="30"/>
                <w:u w:val="none"/>
                <w:lang w:val="en-US" w:eastAsia="zh-CN" w:bidi="ar"/>
              </w:rPr>
              <w:t>预算</w:t>
            </w:r>
            <w:r>
              <w:rPr>
                <w:rFonts w:ascii="宋体" w:hAnsi="宋体" w:eastAsia="宋体" w:cs="宋体"/>
                <w:b/>
                <w:bCs/>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single" w:color="auto" w:sz="4" w:space="0"/>
              <w:right w:val="nil"/>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246" w:type="dxa"/>
            <w:tcBorders>
              <w:top w:val="nil"/>
              <w:left w:val="nil"/>
              <w:bottom w:val="single" w:color="auto" w:sz="4" w:space="0"/>
              <w:right w:val="nil"/>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3468" w:type="dxa"/>
            <w:tcBorders>
              <w:top w:val="nil"/>
              <w:left w:val="nil"/>
              <w:bottom w:val="single" w:color="auto" w:sz="4" w:space="0"/>
              <w:right w:val="nil"/>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995"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项    目</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公式</w:t>
            </w:r>
          </w:p>
        </w:tc>
        <w:tc>
          <w:tcPr>
            <w:tcW w:w="3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本地区</w:t>
            </w:r>
          </w:p>
        </w:tc>
        <w:tc>
          <w:tcPr>
            <w:tcW w:w="2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r>
              <w:rPr>
                <w:rFonts w:ascii="宋体" w:hAnsi="宋体" w:eastAsia="宋体" w:cs="宋体"/>
                <w:i w:val="0"/>
                <w:iCs w:val="0"/>
                <w:color w:val="000000"/>
                <w:kern w:val="0"/>
                <w:sz w:val="22"/>
                <w:szCs w:val="22"/>
                <w:u w:val="none"/>
                <w:lang w:val="en-US" w:eastAsia="zh-CN" w:bidi="ar"/>
              </w:rPr>
              <w:t>、2024年还本预算数</w:t>
            </w:r>
          </w:p>
        </w:tc>
        <w:tc>
          <w:tcPr>
            <w:tcW w:w="2246"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L=M+O</w:t>
            </w:r>
          </w:p>
        </w:tc>
        <w:tc>
          <w:tcPr>
            <w:tcW w:w="346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7.32</w:t>
            </w:r>
          </w:p>
        </w:tc>
        <w:tc>
          <w:tcPr>
            <w:tcW w:w="2995" w:type="dxa"/>
            <w:tcBorders>
              <w:top w:val="single" w:color="auto" w:sz="4" w:space="0"/>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M</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1.03</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224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1.03</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 </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N</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O</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6.30</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224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0.66</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P</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5.64</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r>
              <w:rPr>
                <w:rFonts w:ascii="宋体" w:hAnsi="宋体" w:eastAsia="宋体" w:cs="宋体"/>
                <w:i w:val="0"/>
                <w:iCs w:val="0"/>
                <w:color w:val="000000"/>
                <w:kern w:val="0"/>
                <w:sz w:val="22"/>
                <w:szCs w:val="22"/>
                <w:u w:val="none"/>
                <w:lang w:val="en-US" w:eastAsia="zh-CN" w:bidi="ar"/>
              </w:rPr>
              <w:t>、2024年付息预算数</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Q=R+S</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2.45</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R</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0.72</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1.72</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注：1.本表反映本地区和本级上一年度地方政府债券（含再融资债券）发行及还本付息预计执行数、本年度地方政府债券还本付息预算数等。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2.本表由县级以上地方各级财政部门在本级人民代表大会批准预算后二十日内公开。</w:t>
            </w:r>
          </w:p>
        </w:tc>
      </w:tr>
    </w:tbl>
    <w:p>
      <w:r>
        <w:br w:type="page"/>
      </w: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1"/>
        <w:gridCol w:w="1862"/>
        <w:gridCol w:w="2097"/>
        <w:gridCol w:w="3985"/>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317"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共青城市2024年地方政府债务限额提前下达情况表</w:t>
            </w:r>
          </w:p>
        </w:tc>
        <w:tc>
          <w:tcPr>
            <w:tcW w:w="68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14" w:type="pct"/>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w:t>
            </w:r>
          </w:p>
        </w:tc>
        <w:tc>
          <w:tcPr>
            <w:tcW w:w="657"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  式</w:t>
            </w:r>
          </w:p>
        </w:tc>
        <w:tc>
          <w:tcPr>
            <w:tcW w:w="740"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1405" w:type="pct"/>
            <w:tcBorders>
              <w:top w:val="single" w:color="000000" w:sz="8" w:space="0"/>
              <w:left w:val="single" w:color="000000" w:sz="4" w:space="0"/>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c>
          <w:tcPr>
            <w:tcW w:w="682" w:type="pct"/>
            <w:tcBorders>
              <w:top w:val="single" w:color="000000" w:sz="8" w:space="0"/>
              <w:left w:val="single" w:color="000000" w:sz="4" w:space="0"/>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下级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51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一：2023年地方政府债务限额</w:t>
            </w:r>
          </w:p>
        </w:tc>
        <w:tc>
          <w:tcPr>
            <w:tcW w:w="65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A=B+C</w:t>
            </w:r>
          </w:p>
        </w:tc>
        <w:tc>
          <w:tcPr>
            <w:tcW w:w="74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75.72</w:t>
            </w:r>
          </w:p>
        </w:tc>
        <w:tc>
          <w:tcPr>
            <w:tcW w:w="140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75.72</w:t>
            </w:r>
          </w:p>
        </w:tc>
        <w:tc>
          <w:tcPr>
            <w:tcW w:w="682" w:type="pc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514" w:type="pc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6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7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24.93</w:t>
            </w:r>
          </w:p>
        </w:tc>
        <w:tc>
          <w:tcPr>
            <w:tcW w:w="1405"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24.93</w:t>
            </w:r>
          </w:p>
        </w:tc>
        <w:tc>
          <w:tcPr>
            <w:tcW w:w="682" w:type="pct"/>
            <w:tcBorders>
              <w:top w:val="nil"/>
              <w:left w:val="single" w:color="000000" w:sz="4" w:space="0"/>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51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65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74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50.80</w:t>
            </w:r>
          </w:p>
        </w:tc>
        <w:tc>
          <w:tcPr>
            <w:tcW w:w="140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50.80</w:t>
            </w:r>
          </w:p>
        </w:tc>
        <w:tc>
          <w:tcPr>
            <w:tcW w:w="682" w:type="pc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4"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二：提前下达的2024年地方政府债务新增限额</w:t>
            </w:r>
          </w:p>
        </w:tc>
        <w:tc>
          <w:tcPr>
            <w:tcW w:w="65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D=E+F</w:t>
            </w:r>
          </w:p>
        </w:tc>
        <w:tc>
          <w:tcPr>
            <w:tcW w:w="74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4.39</w:t>
            </w:r>
          </w:p>
        </w:tc>
        <w:tc>
          <w:tcPr>
            <w:tcW w:w="140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4.39</w:t>
            </w:r>
          </w:p>
        </w:tc>
        <w:tc>
          <w:tcPr>
            <w:tcW w:w="682" w:type="pc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4"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657"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740"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0.60</w:t>
            </w:r>
          </w:p>
        </w:tc>
        <w:tc>
          <w:tcPr>
            <w:tcW w:w="1405"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0.60</w:t>
            </w:r>
          </w:p>
        </w:tc>
        <w:tc>
          <w:tcPr>
            <w:tcW w:w="682" w:type="pct"/>
            <w:tcBorders>
              <w:top w:val="nil"/>
              <w:left w:val="single" w:color="000000" w:sz="4" w:space="0"/>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65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w:t>
            </w:r>
          </w:p>
        </w:tc>
        <w:tc>
          <w:tcPr>
            <w:tcW w:w="74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3.79</w:t>
            </w:r>
          </w:p>
        </w:tc>
        <w:tc>
          <w:tcPr>
            <w:tcW w:w="140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3.79</w:t>
            </w:r>
          </w:p>
        </w:tc>
        <w:tc>
          <w:tcPr>
            <w:tcW w:w="682" w:type="pct"/>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000" w:type="pct"/>
            <w:gridSpan w:val="5"/>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注：本表反映本地区及本级年初预算中列示的地方政府债务限额情况，由县级以上地方各级财政部门在同级人大常委会批准年度预算后二十日内公开。</w:t>
            </w:r>
          </w:p>
        </w:tc>
      </w:tr>
    </w:tbl>
    <w:p>
      <w:r>
        <w:br w:type="page"/>
      </w:r>
    </w:p>
    <w:tbl>
      <w:tblPr>
        <w:tblStyle w:val="2"/>
        <w:tblW w:w="5000"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5216"/>
        <w:gridCol w:w="1816"/>
        <w:gridCol w:w="2616"/>
        <w:gridCol w:w="1016"/>
        <w:gridCol w:w="2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60" w:type="pct"/>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Style w:val="4"/>
                <w:lang w:val="en-US" w:eastAsia="zh-CN" w:bidi="ar"/>
              </w:rPr>
              <w:t>共青城市2024年年初地方政府新增债券资金安排表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5"/>
                <w:szCs w:val="25"/>
                <w:u w:val="none"/>
              </w:rPr>
            </w:pPr>
          </w:p>
        </w:tc>
        <w:tc>
          <w:tcPr>
            <w:tcW w:w="1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5"/>
                <w:szCs w:val="25"/>
                <w:u w:val="none"/>
              </w:rPr>
            </w:pPr>
          </w:p>
        </w:tc>
        <w:tc>
          <w:tcPr>
            <w:tcW w:w="1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5"/>
                <w:szCs w:val="25"/>
                <w:u w:val="none"/>
              </w:rPr>
            </w:pPr>
          </w:p>
        </w:tc>
        <w:tc>
          <w:tcPr>
            <w:tcW w:w="1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5"/>
                <w:szCs w:val="25"/>
                <w:u w:val="none"/>
              </w:rPr>
            </w:pPr>
          </w:p>
        </w:tc>
        <w:tc>
          <w:tcPr>
            <w:tcW w:w="1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5"/>
                <w:szCs w:val="25"/>
                <w:u w:val="none"/>
              </w:rPr>
            </w:pPr>
          </w:p>
        </w:tc>
        <w:tc>
          <w:tcPr>
            <w:tcW w:w="4271"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Style w:val="5"/>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序号</w:t>
            </w:r>
          </w:p>
        </w:tc>
        <w:tc>
          <w:tcPr>
            <w:tcW w:w="17"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项目名称</w:t>
            </w:r>
          </w:p>
        </w:tc>
        <w:tc>
          <w:tcPr>
            <w:tcW w:w="17"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项目类型</w:t>
            </w:r>
          </w:p>
        </w:tc>
        <w:tc>
          <w:tcPr>
            <w:tcW w:w="17" w:type="pct"/>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项目主管部门</w:t>
            </w:r>
          </w:p>
        </w:tc>
        <w:tc>
          <w:tcPr>
            <w:tcW w:w="17" w:type="pct"/>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债券性质</w:t>
            </w:r>
          </w:p>
        </w:tc>
        <w:tc>
          <w:tcPr>
            <w:tcW w:w="4271" w:type="pct"/>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债券规模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共青城市高新区宿舍楼项目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共青城市教育体育局</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共青城市苏家垱乡乡村振兴服务平台生态停车场建设项目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其他停车场</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苏家垱人民政府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共青城市苏家垱乡水口村水口徐生活污水处理项目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农村污水治理</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苏家垱人民政府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共青城市苏家垱乡青山村中心村配套基础设施工程项目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其他保障性住房</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苏家垱人民政府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共青城市苏家垱乡临湖家园（高铁拆迁安置）一期项目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其他保障性住房</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苏家垱人民政府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共青城市苏家垱乡“点亮苏乡”工程项目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苏家垱人民政府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江益镇荷塘安置房外立面改造工程</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农村人居环境整治</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共青城市江益镇人民政府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共青城市苏家垱乡文体综合广场建设项目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苏家垱人民政府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2023年共青城市创文第二批微更新一期项目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其他市政建设</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2023年共青城市创文第二批微更新二期项目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2023年共青城市创文第二批微更新四期项目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其他市政建设</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共青城市苏家垱乡集镇提升改造建设项目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苏家垱人民政府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共青城市消防救援综合能力提升项目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共青城市消防救援大队</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共青城羽博路道路整体改造提升项目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共青城市城市管理局</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共青城市苏家垱乡青山村新垱陈美丽宜居建设项目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苏家垱人民政府</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2023年共青城市创文第二批微更新三期项目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其他市政建设</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凯旋城道路改造项目</w:t>
            </w:r>
          </w:p>
        </w:tc>
        <w:tc>
          <w:tcPr>
            <w:tcW w:w="17"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其他市政建设</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共青城市住房和城乡建设局</w:t>
            </w:r>
          </w:p>
        </w:tc>
        <w:tc>
          <w:tcPr>
            <w:tcW w:w="17"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lang w:val="en-US" w:eastAsia="zh-CN" w:bidi="ar"/>
              </w:rPr>
              <w:t>一般债券</w:t>
            </w:r>
          </w:p>
        </w:tc>
        <w:tc>
          <w:tcPr>
            <w:tcW w:w="4271" w:type="pct"/>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0.028</w:t>
            </w:r>
          </w:p>
        </w:tc>
      </w:tr>
    </w:tbl>
    <w:p>
      <w:p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0"/>
          <w:szCs w:val="40"/>
          <w:lang w:val="en-US" w:eastAsia="zh-CN" w:bidi="ar"/>
        </w:rPr>
        <w:t>2023年共青城市地方政府债务情况</w:t>
      </w:r>
    </w:p>
    <w:p>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p>
    <w:p>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2023年，省财政厅下达我市地方政府债务限额 75.72亿元。其中：一般债务限额 24.92亿元，专项债务限额 50.80亿元。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2023 年，共青城市地方政府债务余额74.33 亿元。其中：一般债务余额24.18亿元，专项债务余额50.15亿元。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2022 年，共青城市地方政府债券转贷收入 15.89亿元。其中：新增债券 11.87亿元，再融资债券 4.02亿元。</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zAxNjQwMTQ5ZGZkN2Q4ODgzY2Q5NTBkMmNiNjkifQ=="/>
    <w:docVar w:name="KSO_WPS_MARK_KEY" w:val="b65aa858-3e3d-46ed-80c9-3abb9e66ada0"/>
  </w:docVars>
  <w:rsids>
    <w:rsidRoot w:val="6F7B6515"/>
    <w:rsid w:val="076B363B"/>
    <w:rsid w:val="1EAF59AD"/>
    <w:rsid w:val="6F7B6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bCs/>
      <w:color w:val="000000"/>
      <w:sz w:val="30"/>
      <w:szCs w:val="30"/>
      <w:u w:val="none"/>
    </w:rPr>
  </w:style>
  <w:style w:type="character" w:customStyle="1" w:styleId="5">
    <w:name w:val="font31"/>
    <w:basedOn w:val="3"/>
    <w:qFormat/>
    <w:uiPriority w:val="0"/>
    <w:rPr>
      <w:rFonts w:hint="eastAsia" w:ascii="宋体" w:hAnsi="宋体" w:eastAsia="宋体" w:cs="宋体"/>
      <w:color w:val="000000"/>
      <w:sz w:val="15"/>
      <w:szCs w:val="15"/>
      <w:u w:val="none"/>
    </w:rPr>
  </w:style>
  <w:style w:type="character" w:customStyle="1" w:styleId="6">
    <w:name w:val="font4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2156</Words>
  <Characters>2731</Characters>
  <Lines>0</Lines>
  <Paragraphs>0</Paragraphs>
  <TotalTime>1000</TotalTime>
  <ScaleCrop>false</ScaleCrop>
  <LinksUpToDate>false</LinksUpToDate>
  <CharactersWithSpaces>2817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2023-03-21T06:46:00Z</dcterms:created>
  <dc:creator>win10-20191104POIUYT</dc:creator>
  <cp:lastModifiedBy>肖婷</cp:lastModifiedBy>
  <dcterms:modified xsi:type="dcterms:W3CDTF">2024-03-06T01:23:49Z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4D79747285254DA28297FF12CC596B64</vt:lpwstr>
  </property>
</Properties>
</file>