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3D" w:rsidRDefault="00C32F98">
      <w:pPr>
        <w:spacing w:line="600" w:lineRule="exact"/>
        <w:rPr>
          <w:rFonts w:ascii="宋体" w:cs="宋体"/>
          <w:sz w:val="30"/>
          <w:szCs w:val="30"/>
        </w:rPr>
      </w:pPr>
      <w:r>
        <w:rPr>
          <w:rFonts w:ascii="宋体" w:hAnsi="宋体" w:cs="宋体" w:hint="eastAsia"/>
          <w:sz w:val="30"/>
          <w:szCs w:val="30"/>
        </w:rPr>
        <w:t>市三届人大五次</w:t>
      </w:r>
    </w:p>
    <w:p w:rsidR="0046003D" w:rsidRDefault="00C32F98">
      <w:pPr>
        <w:spacing w:line="600" w:lineRule="exact"/>
        <w:rPr>
          <w:rFonts w:ascii="宋体" w:cs="宋体"/>
          <w:sz w:val="30"/>
          <w:szCs w:val="30"/>
        </w:rPr>
      </w:pPr>
      <w:r>
        <w:rPr>
          <w:rFonts w:ascii="宋体" w:hAnsi="宋体" w:cs="宋体" w:hint="eastAsia"/>
          <w:sz w:val="30"/>
          <w:szCs w:val="30"/>
        </w:rPr>
        <w:t xml:space="preserve">会议文件（32）                                </w:t>
      </w:r>
    </w:p>
    <w:p w:rsidR="0046003D" w:rsidRDefault="0046003D">
      <w:pPr>
        <w:pStyle w:val="a7"/>
        <w:spacing w:line="600" w:lineRule="exact"/>
        <w:ind w:firstLineChars="0" w:firstLine="0"/>
      </w:pPr>
    </w:p>
    <w:p w:rsidR="0046003D" w:rsidRDefault="00C32F98">
      <w:pPr>
        <w:spacing w:line="600" w:lineRule="exact"/>
        <w:rPr>
          <w:rFonts w:ascii="方正小标宋简体" w:eastAsia="方正小标宋简体" w:hAnsi="宋体"/>
          <w:sz w:val="44"/>
          <w:szCs w:val="44"/>
        </w:rPr>
      </w:pPr>
      <w:r>
        <w:rPr>
          <w:rFonts w:ascii="方正小标宋简体" w:eastAsia="方正小标宋简体" w:hAnsi="宋体" w:hint="eastAsia"/>
          <w:sz w:val="44"/>
          <w:szCs w:val="44"/>
        </w:rPr>
        <w:t>关于共青城市2024年财政预算执行情况和</w:t>
      </w:r>
    </w:p>
    <w:p w:rsidR="0046003D" w:rsidRDefault="00C32F98">
      <w:pPr>
        <w:spacing w:line="600" w:lineRule="exact"/>
        <w:contextualSpacing/>
        <w:jc w:val="center"/>
        <w:rPr>
          <w:rFonts w:ascii="方正小标宋简体" w:eastAsia="方正小标宋简体" w:hAnsi="方正小标宋简体" w:cs="方正小标宋简体"/>
          <w:sz w:val="44"/>
          <w:szCs w:val="44"/>
        </w:rPr>
      </w:pPr>
      <w:r>
        <w:rPr>
          <w:rFonts w:ascii="方正小标宋简体" w:eastAsia="方正小标宋简体" w:hAnsi="宋体" w:hint="eastAsia"/>
          <w:sz w:val="44"/>
          <w:szCs w:val="44"/>
        </w:rPr>
        <w:t>2025年财政预算草案的报告（书面）</w:t>
      </w:r>
    </w:p>
    <w:p w:rsidR="0046003D" w:rsidRDefault="0046003D" w:rsidP="0076022E">
      <w:pPr>
        <w:pStyle w:val="2"/>
        <w:spacing w:after="0" w:line="600" w:lineRule="exact"/>
        <w:ind w:leftChars="0" w:left="0" w:firstLine="640"/>
      </w:pPr>
    </w:p>
    <w:p w:rsidR="0046003D" w:rsidRDefault="00C32F98">
      <w:pPr>
        <w:spacing w:line="600" w:lineRule="exact"/>
        <w:contextualSpacing/>
        <w:jc w:val="center"/>
        <w:rPr>
          <w:rFonts w:ascii="楷体_GB2312" w:eastAsia="楷体_GB2312" w:hAnsi="楷体"/>
          <w:spacing w:val="-16"/>
        </w:rPr>
      </w:pPr>
      <w:r>
        <w:rPr>
          <w:rFonts w:ascii="楷体_GB2312" w:eastAsia="楷体_GB2312" w:hAnsi="楷体" w:hint="eastAsia"/>
          <w:spacing w:val="-16"/>
        </w:rPr>
        <w:t>（</w:t>
      </w:r>
      <w:r>
        <w:rPr>
          <w:rFonts w:ascii="楷体_GB2312" w:eastAsia="楷体_GB2312" w:hAnsi="楷体"/>
          <w:spacing w:val="-16"/>
        </w:rPr>
        <w:t>20</w:t>
      </w:r>
      <w:r>
        <w:rPr>
          <w:rFonts w:ascii="楷体_GB2312" w:eastAsia="楷体_GB2312" w:hAnsi="楷体" w:hint="eastAsia"/>
          <w:spacing w:val="-16"/>
        </w:rPr>
        <w:t>25年1月22日在共青城市第三届人民代表大会第五次会议上）</w:t>
      </w:r>
    </w:p>
    <w:p w:rsidR="0046003D" w:rsidRDefault="00C32F98">
      <w:pPr>
        <w:spacing w:line="600" w:lineRule="exact"/>
        <w:contextualSpacing/>
        <w:jc w:val="center"/>
        <w:rPr>
          <w:rFonts w:ascii="仿宋_GB2312" w:eastAsia="楷体_GB2312"/>
        </w:rPr>
      </w:pPr>
      <w:r>
        <w:rPr>
          <w:rFonts w:ascii="楷体_GB2312" w:eastAsia="楷体_GB2312" w:hAnsi="楷体" w:hint="eastAsia"/>
        </w:rPr>
        <w:t>共青城市财政局局长  余  毅</w:t>
      </w:r>
    </w:p>
    <w:p w:rsidR="0046003D" w:rsidRDefault="0046003D">
      <w:pPr>
        <w:spacing w:line="600" w:lineRule="exact"/>
        <w:ind w:firstLineChars="200" w:firstLine="640"/>
        <w:rPr>
          <w:rFonts w:ascii="仿宋_GB2312" w:eastAsia="仿宋_GB2312" w:hAnsi="仿宋_GB2312" w:cs="仿宋_GB2312"/>
        </w:rPr>
      </w:pPr>
    </w:p>
    <w:p w:rsidR="0046003D" w:rsidRDefault="00C32F98">
      <w:pPr>
        <w:spacing w:line="600" w:lineRule="exact"/>
        <w:rPr>
          <w:rFonts w:ascii="仿宋_GB2312" w:eastAsia="仿宋_GB2312" w:hAnsi="仿宋_GB2312" w:cs="仿宋_GB2312"/>
        </w:rPr>
      </w:pPr>
      <w:r>
        <w:rPr>
          <w:rFonts w:ascii="仿宋_GB2312" w:eastAsia="仿宋_GB2312" w:hAnsi="仿宋_GB2312" w:cs="仿宋_GB2312" w:hint="eastAsia"/>
        </w:rPr>
        <w:t>各位代表:</w:t>
      </w:r>
    </w:p>
    <w:p w:rsidR="0046003D" w:rsidRDefault="00C32F98">
      <w:pPr>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受市人民政府委托，我向大会报告全市2024年财政预算执行情况和2025年财政预算草案，请予审议，并请列席会议的同志提出意见。</w:t>
      </w:r>
    </w:p>
    <w:p w:rsidR="0046003D" w:rsidRDefault="00C32F98">
      <w:pPr>
        <w:spacing w:line="600" w:lineRule="exact"/>
        <w:ind w:firstLineChars="200" w:firstLine="640"/>
        <w:rPr>
          <w:rFonts w:ascii="黑体" w:eastAsia="黑体" w:hAnsi="黑体" w:cs="黑体"/>
        </w:rPr>
      </w:pPr>
      <w:r>
        <w:rPr>
          <w:rFonts w:ascii="黑体" w:eastAsia="黑体" w:hAnsi="黑体" w:cs="黑体" w:hint="eastAsia"/>
        </w:rPr>
        <w:t>一、2024年财政预算执行情况</w:t>
      </w:r>
    </w:p>
    <w:p w:rsidR="0046003D" w:rsidRDefault="00C32F98">
      <w:pPr>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2024年是深入实施“十四五”规划的攻坚之年，也是我市发展提速提质、突破跨越的关键一年。在市委、市政府的坚强领导下，在市人大、市政协的监督支持下，全市上下坚持以习近平新时代中国特色社会主义思想为指导，全面贯彻落实党的二十大和二十届二中、三中全会精神，扎实推进财政改革发展各项工作，保持财政支出强度，优化支出重点和结构，保障“三保”和重点领域支出需求，防范地方债务风险，落实政府</w:t>
      </w:r>
      <w:r w:rsidR="00A7439A">
        <w:rPr>
          <w:rFonts w:ascii="仿宋_GB2312" w:eastAsia="仿宋_GB2312" w:hAnsi="仿宋_GB2312" w:cs="仿宋_GB2312" w:hint="eastAsia"/>
          <w:bCs/>
        </w:rPr>
        <w:t>“过紧日子”</w:t>
      </w:r>
      <w:r>
        <w:rPr>
          <w:rFonts w:ascii="仿宋_GB2312" w:eastAsia="仿宋_GB2312" w:hAnsi="仿宋_GB2312" w:cs="仿宋_GB2312" w:hint="eastAsia"/>
        </w:rPr>
        <w:t>要求，严肃财经纪律，提高资</w:t>
      </w:r>
      <w:r>
        <w:rPr>
          <w:rFonts w:ascii="仿宋_GB2312" w:eastAsia="仿宋_GB2312" w:hAnsi="仿宋_GB2312" w:cs="仿宋_GB2312" w:hint="eastAsia"/>
        </w:rPr>
        <w:lastRenderedPageBreak/>
        <w:t>金使用效益，预算执行情况总体较好，执行情况如下：</w:t>
      </w:r>
    </w:p>
    <w:p w:rsidR="0046003D" w:rsidRDefault="00C32F98" w:rsidP="0076022E">
      <w:pPr>
        <w:spacing w:line="600" w:lineRule="exact"/>
        <w:ind w:firstLineChars="200" w:firstLine="640"/>
        <w:rPr>
          <w:rFonts w:ascii="楷体_GB2312" w:eastAsia="楷体_GB2312" w:hAnsi="宋体"/>
          <w:b/>
        </w:rPr>
      </w:pPr>
      <w:r>
        <w:rPr>
          <w:rFonts w:ascii="楷体_GB2312" w:eastAsia="楷体_GB2312" w:hAnsi="宋体" w:hint="eastAsia"/>
          <w:b/>
        </w:rPr>
        <w:t>（一）一般公共预算执行情况</w:t>
      </w:r>
    </w:p>
    <w:p w:rsidR="0046003D" w:rsidRDefault="00C32F98" w:rsidP="0076022E">
      <w:pPr>
        <w:spacing w:line="600" w:lineRule="exact"/>
        <w:ind w:firstLineChars="200" w:firstLine="640"/>
        <w:rPr>
          <w:rFonts w:ascii="仿宋_GB2312" w:eastAsia="仿宋_GB2312" w:hAnsi="仿宋_GB2312" w:cs="仿宋_GB2312"/>
          <w:b/>
        </w:rPr>
      </w:pPr>
      <w:r>
        <w:rPr>
          <w:rFonts w:ascii="仿宋_GB2312" w:eastAsia="仿宋_GB2312" w:hAnsi="仿宋_GB2312" w:cs="仿宋_GB2312" w:hint="eastAsia"/>
          <w:b/>
        </w:rPr>
        <w:t>1.一般公共预算收入执行情况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根据预计完成数（下同），2024年，一般公共预算收入完成250,205万元，比上年增收9,349万元，同比增长3.88%。</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分征收部门完成情况：税务部门完成581,902万元，比上年减收6,451万元，同比下降1.1%；财政部门完成43,269万元，比上年增收4,272万元，同比增长10.95%。</w:t>
      </w:r>
    </w:p>
    <w:p w:rsidR="0046003D" w:rsidRDefault="00C32F98" w:rsidP="0076022E">
      <w:pPr>
        <w:spacing w:line="600" w:lineRule="exact"/>
        <w:ind w:firstLineChars="200" w:firstLine="640"/>
        <w:rPr>
          <w:rFonts w:ascii="仿宋_GB2312" w:eastAsia="仿宋_GB2312" w:hAnsi="宋体"/>
          <w:b/>
        </w:rPr>
      </w:pPr>
      <w:r>
        <w:rPr>
          <w:rFonts w:ascii="仿宋_GB2312" w:eastAsia="仿宋_GB2312" w:hAnsi="宋体" w:hint="eastAsia"/>
          <w:b/>
        </w:rPr>
        <w:t>2.一般公共预算支出执行情况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2024年一般公共预算支出执行数325,632万元，比上年决算数减少26,960万元，</w:t>
      </w:r>
      <w:r w:rsidR="00A7439A">
        <w:rPr>
          <w:rFonts w:ascii="仿宋_GB2312" w:eastAsia="仿宋_GB2312" w:hAnsi="宋体" w:hint="eastAsia"/>
        </w:rPr>
        <w:t>同比</w:t>
      </w:r>
      <w:r>
        <w:rPr>
          <w:rFonts w:ascii="仿宋_GB2312" w:eastAsia="仿宋_GB2312" w:hAnsi="宋体" w:hint="eastAsia"/>
        </w:rPr>
        <w:t>下降7.65%。主要项目支出情况是：一般公共服务支出23,583万元；国防支出1,624万元；公共安全支出8,498万元；教育支出67,953万元；科学技术支出18,662万元；文化旅游体育与传媒支出13,024万元；社会保障和就业支出23,154万元；卫生健康支出12,317万元；节能环保支出15,844万元；城乡社区支出77,664万元；农林水支出38,696万元；交通运输支出2,003万元；资源勘探信息等支出3,189万元；商业服务业等支出1,778万元；自然资源海洋气象等支出1,880万元；住房保障支出4,517万元；粮油物资储备支出146万元；灾害防治及应急管理支出3,080万元；其他支出5万元；债务付息支出7,994万元；债务发行费用支出21万元。</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依据上述收支情况，2024年全市一般公共预算收支执</w:t>
      </w:r>
      <w:r>
        <w:rPr>
          <w:rFonts w:ascii="仿宋_GB2312" w:eastAsia="仿宋_GB2312" w:hAnsi="宋体" w:hint="eastAsia"/>
        </w:rPr>
        <w:lastRenderedPageBreak/>
        <w:t>行结果：一般公共预算收入250,205万元，加上上级补助收入100,137万元（其中返还性收入28,167万元、一般性转移支付收入44,932万元、专项转移支付收入27,038万元）,地方政府一般债务转贷收入24,079万元，调入资金2,306万元（从其他资金调入2,306万元）和上年结余2,126万元，动用预算稳定调节基金3,092万元，总收入为381,945万元。一般公共预算支出325,632万元，加上结算上解支出22,174万元，地方政府一般债务还本支出13,962万元，安排预算稳定调节基金16,674万元，总支出为378,442万元。收支相抵，年终结余3,503万元，当年实现了收支平衡。</w:t>
      </w:r>
    </w:p>
    <w:p w:rsidR="0046003D" w:rsidRDefault="00C32F98" w:rsidP="0076022E">
      <w:pPr>
        <w:spacing w:line="600" w:lineRule="exact"/>
        <w:ind w:firstLineChars="200" w:firstLine="640"/>
        <w:rPr>
          <w:rFonts w:ascii="楷体_GB2312" w:eastAsia="楷体_GB2312" w:hAnsi="宋体"/>
        </w:rPr>
      </w:pPr>
      <w:r>
        <w:rPr>
          <w:rFonts w:ascii="楷体_GB2312" w:eastAsia="楷体_GB2312" w:hAnsi="宋体" w:hint="eastAsia"/>
          <w:b/>
        </w:rPr>
        <w:t>（二）政府性基金预算执行情况</w:t>
      </w:r>
    </w:p>
    <w:p w:rsidR="0046003D" w:rsidRDefault="00C32F98" w:rsidP="0076022E">
      <w:pPr>
        <w:spacing w:line="600" w:lineRule="exact"/>
        <w:ind w:firstLineChars="200" w:firstLine="640"/>
        <w:rPr>
          <w:rFonts w:ascii="仿宋_GB2312" w:eastAsia="仿宋_GB2312" w:hAnsi="宋体"/>
          <w:b/>
        </w:rPr>
      </w:pPr>
      <w:r>
        <w:rPr>
          <w:rFonts w:ascii="仿宋_GB2312" w:eastAsia="仿宋_GB2312" w:hAnsi="宋体" w:hint="eastAsia"/>
          <w:b/>
        </w:rPr>
        <w:t>1.政府性基金收入执行情况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2024年全市政府性基金收入执行数68,292万元，比上年决算数减少34,156万元，同比下降33.34%，主要是国有土地出让收入减少40,297万元。主要收入项目执行情况是：国有土地使用权出让收入52,917万元；彩票公益金收入388万元；城市基础设施配套费收入628万元；污水处理费收入1,124万元；专项债券利息收入13,235万元。</w:t>
      </w:r>
    </w:p>
    <w:p w:rsidR="0046003D" w:rsidRDefault="00C32F98" w:rsidP="0076022E">
      <w:pPr>
        <w:spacing w:line="600" w:lineRule="exact"/>
        <w:ind w:firstLineChars="200" w:firstLine="640"/>
        <w:rPr>
          <w:rFonts w:ascii="仿宋_GB2312" w:eastAsia="仿宋_GB2312" w:hAnsi="宋体"/>
          <w:b/>
        </w:rPr>
      </w:pPr>
      <w:r>
        <w:rPr>
          <w:rFonts w:ascii="仿宋_GB2312" w:eastAsia="仿宋_GB2312" w:hAnsi="宋体" w:hint="eastAsia"/>
          <w:b/>
        </w:rPr>
        <w:t>2.政府性基金支出执行情况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2024年全市政府性基金预算支出</w:t>
      </w:r>
      <w:r w:rsidR="00F9201A">
        <w:rPr>
          <w:rFonts w:ascii="仿宋_GB2312" w:eastAsia="仿宋_GB2312" w:hAnsi="宋体" w:hint="eastAsia"/>
        </w:rPr>
        <w:t>执行数</w:t>
      </w:r>
      <w:r>
        <w:rPr>
          <w:rFonts w:ascii="仿宋_GB2312" w:eastAsia="仿宋_GB2312" w:hAnsi="宋体" w:hint="eastAsia"/>
        </w:rPr>
        <w:t>143,776万元，比上年决算数减少54,940万元，同比下降27.65%，主要是城乡社区支出减少69,837万元。其中：文化旅游体育与传媒支出4万元；城乡社区支出20,811万元;农林水支出1,496</w:t>
      </w:r>
      <w:r>
        <w:rPr>
          <w:rFonts w:ascii="仿宋_GB2312" w:eastAsia="仿宋_GB2312" w:hAnsi="宋体" w:hint="eastAsia"/>
        </w:rPr>
        <w:lastRenderedPageBreak/>
        <w:t>万元；交通运输支出363万元；资源勘探工业信息等支出407万；其他支出103,279万元；债务付息支出17,299万元；债务发行费用支出117万元。</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依据上述收支情况，2024年全市政府性基金收支执行结果：政府性基金预算收入68,292万元，加上上级补助收入10,555万元，地方政府专项债务转贷收入139,784万元和上年结余40,805万元，调入资金27,000万元，总收入为286,436万元。政府性基金</w:t>
      </w:r>
      <w:r w:rsidR="00F9201A">
        <w:rPr>
          <w:rFonts w:ascii="仿宋_GB2312" w:eastAsia="仿宋_GB2312" w:hAnsi="宋体" w:hint="eastAsia"/>
        </w:rPr>
        <w:t>预算</w:t>
      </w:r>
      <w:r>
        <w:rPr>
          <w:rFonts w:ascii="仿宋_GB2312" w:eastAsia="仿宋_GB2312" w:hAnsi="宋体" w:hint="eastAsia"/>
        </w:rPr>
        <w:t>支出143,776万元，专项债还本支出114,273万元，上解上级支出1</w:t>
      </w:r>
      <w:bookmarkStart w:id="0" w:name="OLE_LINK6"/>
      <w:r>
        <w:rPr>
          <w:rFonts w:ascii="仿宋_GB2312" w:eastAsia="仿宋_GB2312" w:hAnsi="宋体" w:hint="eastAsia"/>
        </w:rPr>
        <w:t>,</w:t>
      </w:r>
      <w:bookmarkEnd w:id="0"/>
      <w:r>
        <w:rPr>
          <w:rFonts w:ascii="仿宋_GB2312" w:eastAsia="仿宋_GB2312" w:hAnsi="宋体" w:hint="eastAsia"/>
        </w:rPr>
        <w:t>059万元，总支出为259,108万元。收支相抵，年终结余27,328万元，当年实现了收支平衡。</w:t>
      </w:r>
    </w:p>
    <w:p w:rsidR="0046003D" w:rsidRDefault="00C32F98" w:rsidP="0076022E">
      <w:pPr>
        <w:spacing w:line="600" w:lineRule="exact"/>
        <w:ind w:firstLineChars="200" w:firstLine="640"/>
        <w:rPr>
          <w:rFonts w:ascii="楷体_GB2312" w:eastAsia="楷体_GB2312" w:hAnsi="宋体"/>
          <w:b/>
        </w:rPr>
      </w:pPr>
      <w:bookmarkStart w:id="1" w:name="OLE_LINK1"/>
      <w:r>
        <w:rPr>
          <w:rFonts w:ascii="楷体_GB2312" w:eastAsia="楷体_GB2312" w:hAnsi="宋体" w:hint="eastAsia"/>
          <w:b/>
        </w:rPr>
        <w:t>（三）社保基金预算收支执行情况</w:t>
      </w:r>
    </w:p>
    <w:bookmarkEnd w:id="1"/>
    <w:p w:rsidR="0046003D" w:rsidRDefault="00C32F98">
      <w:pPr>
        <w:pStyle w:val="a6"/>
        <w:shd w:val="clear" w:color="auto" w:fill="FFFFFF"/>
        <w:spacing w:before="0" w:beforeAutospacing="0" w:after="0" w:afterAutospacing="0" w:line="600" w:lineRule="exact"/>
        <w:ind w:firstLineChars="200" w:firstLine="640"/>
        <w:jc w:val="both"/>
        <w:rPr>
          <w:rFonts w:ascii="仿宋_GB2312" w:eastAsia="仿宋_GB2312" w:hAnsi="宋体"/>
          <w:kern w:val="2"/>
          <w:sz w:val="32"/>
        </w:rPr>
      </w:pPr>
      <w:r>
        <w:rPr>
          <w:rFonts w:ascii="仿宋_GB2312" w:eastAsia="仿宋_GB2312" w:hAnsi="宋体" w:hint="eastAsia"/>
          <w:kern w:val="2"/>
          <w:sz w:val="32"/>
        </w:rPr>
        <w:t>2024年社会保险基金收入</w:t>
      </w:r>
      <w:r w:rsidR="00F9201A">
        <w:rPr>
          <w:rFonts w:ascii="仿宋_GB2312" w:eastAsia="仿宋_GB2312" w:hAnsi="宋体" w:hint="eastAsia"/>
          <w:sz w:val="32"/>
        </w:rPr>
        <w:t>执行数</w:t>
      </w:r>
      <w:r>
        <w:rPr>
          <w:rFonts w:ascii="仿宋_GB2312" w:eastAsia="仿宋_GB2312" w:hAnsi="宋体" w:hint="eastAsia"/>
          <w:kern w:val="2"/>
          <w:sz w:val="32"/>
        </w:rPr>
        <w:t>12</w:t>
      </w:r>
      <w:r>
        <w:rPr>
          <w:rFonts w:ascii="仿宋_GB2312" w:eastAsia="仿宋_GB2312" w:hAnsi="宋体" w:hint="eastAsia"/>
          <w:sz w:val="32"/>
        </w:rPr>
        <w:t>,</w:t>
      </w:r>
      <w:r>
        <w:rPr>
          <w:rFonts w:ascii="仿宋_GB2312" w:eastAsia="仿宋_GB2312" w:hAnsi="宋体" w:hint="eastAsia"/>
          <w:kern w:val="2"/>
          <w:sz w:val="32"/>
        </w:rPr>
        <w:t>810万元，其中：城乡居民基本养老保险4</w:t>
      </w:r>
      <w:r>
        <w:rPr>
          <w:rFonts w:ascii="仿宋_GB2312" w:eastAsia="仿宋_GB2312" w:hAnsi="宋体" w:hint="eastAsia"/>
          <w:sz w:val="32"/>
        </w:rPr>
        <w:t>,</w:t>
      </w:r>
      <w:r>
        <w:rPr>
          <w:rFonts w:ascii="仿宋_GB2312" w:eastAsia="仿宋_GB2312" w:hAnsi="宋体" w:hint="eastAsia"/>
          <w:kern w:val="2"/>
          <w:sz w:val="32"/>
        </w:rPr>
        <w:t>460万元，机关事业单位养老保险8</w:t>
      </w:r>
      <w:r>
        <w:rPr>
          <w:rFonts w:ascii="仿宋_GB2312" w:eastAsia="仿宋_GB2312" w:hAnsi="宋体" w:hint="eastAsia"/>
          <w:sz w:val="32"/>
        </w:rPr>
        <w:t>,</w:t>
      </w:r>
      <w:r>
        <w:rPr>
          <w:rFonts w:ascii="仿宋_GB2312" w:eastAsia="仿宋_GB2312" w:hAnsi="宋体" w:hint="eastAsia"/>
          <w:kern w:val="2"/>
          <w:sz w:val="32"/>
        </w:rPr>
        <w:t>350万元。</w:t>
      </w:r>
    </w:p>
    <w:p w:rsidR="0046003D" w:rsidRDefault="00C32F98">
      <w:pPr>
        <w:pStyle w:val="a6"/>
        <w:shd w:val="clear" w:color="auto" w:fill="FFFFFF"/>
        <w:spacing w:before="0" w:beforeAutospacing="0" w:after="0" w:afterAutospacing="0" w:line="600" w:lineRule="exact"/>
        <w:ind w:firstLineChars="200" w:firstLine="640"/>
        <w:jc w:val="both"/>
        <w:rPr>
          <w:rFonts w:ascii="仿宋_GB2312" w:eastAsia="仿宋_GB2312" w:hAnsi="宋体"/>
          <w:kern w:val="2"/>
          <w:sz w:val="32"/>
        </w:rPr>
      </w:pPr>
      <w:r>
        <w:rPr>
          <w:rFonts w:ascii="仿宋_GB2312" w:eastAsia="仿宋_GB2312" w:hAnsi="宋体" w:hint="eastAsia"/>
          <w:kern w:val="2"/>
          <w:sz w:val="32"/>
        </w:rPr>
        <w:t>2024年社会保险基金支出</w:t>
      </w:r>
      <w:r w:rsidR="00F9201A">
        <w:rPr>
          <w:rFonts w:ascii="仿宋_GB2312" w:eastAsia="仿宋_GB2312" w:hAnsi="宋体" w:hint="eastAsia"/>
          <w:sz w:val="32"/>
        </w:rPr>
        <w:t>执行数</w:t>
      </w:r>
      <w:r>
        <w:rPr>
          <w:rFonts w:ascii="仿宋_GB2312" w:eastAsia="仿宋_GB2312" w:hAnsi="宋体" w:hint="eastAsia"/>
          <w:kern w:val="2"/>
          <w:sz w:val="32"/>
        </w:rPr>
        <w:t>9</w:t>
      </w:r>
      <w:r>
        <w:rPr>
          <w:rFonts w:ascii="仿宋_GB2312" w:eastAsia="仿宋_GB2312" w:hAnsi="宋体" w:hint="eastAsia"/>
          <w:sz w:val="32"/>
        </w:rPr>
        <w:t>,</w:t>
      </w:r>
      <w:r>
        <w:rPr>
          <w:rFonts w:ascii="仿宋_GB2312" w:eastAsia="仿宋_GB2312" w:hAnsi="宋体" w:hint="eastAsia"/>
          <w:kern w:val="2"/>
          <w:sz w:val="32"/>
        </w:rPr>
        <w:t>649万元，其中：城乡居民基本养老保险3</w:t>
      </w:r>
      <w:r>
        <w:rPr>
          <w:rFonts w:ascii="仿宋_GB2312" w:eastAsia="仿宋_GB2312" w:hAnsi="宋体" w:hint="eastAsia"/>
          <w:sz w:val="32"/>
        </w:rPr>
        <w:t>,</w:t>
      </w:r>
      <w:r>
        <w:rPr>
          <w:rFonts w:ascii="仿宋_GB2312" w:eastAsia="仿宋_GB2312" w:hAnsi="宋体" w:hint="eastAsia"/>
          <w:kern w:val="2"/>
          <w:sz w:val="32"/>
        </w:rPr>
        <w:t>543万元，机关事业单位养老保险6</w:t>
      </w:r>
      <w:r>
        <w:rPr>
          <w:rFonts w:ascii="仿宋_GB2312" w:eastAsia="仿宋_GB2312" w:hAnsi="宋体" w:hint="eastAsia"/>
          <w:sz w:val="32"/>
        </w:rPr>
        <w:t>,</w:t>
      </w:r>
      <w:r>
        <w:rPr>
          <w:rFonts w:ascii="仿宋_GB2312" w:eastAsia="仿宋_GB2312" w:hAnsi="宋体" w:hint="eastAsia"/>
          <w:kern w:val="2"/>
          <w:sz w:val="32"/>
        </w:rPr>
        <w:t>106万元。当年收支结余3</w:t>
      </w:r>
      <w:r>
        <w:rPr>
          <w:rFonts w:ascii="仿宋_GB2312" w:eastAsia="仿宋_GB2312" w:hAnsi="宋体" w:hint="eastAsia"/>
          <w:sz w:val="32"/>
        </w:rPr>
        <w:t>,</w:t>
      </w:r>
      <w:r>
        <w:rPr>
          <w:rFonts w:ascii="仿宋_GB2312" w:eastAsia="仿宋_GB2312" w:hAnsi="宋体" w:hint="eastAsia"/>
          <w:kern w:val="2"/>
          <w:sz w:val="32"/>
        </w:rPr>
        <w:t>161万元。</w:t>
      </w:r>
    </w:p>
    <w:p w:rsidR="0046003D" w:rsidRDefault="00C32F98" w:rsidP="0076022E">
      <w:pPr>
        <w:pStyle w:val="a6"/>
        <w:shd w:val="clear" w:color="auto" w:fill="FFFFFF"/>
        <w:spacing w:before="0" w:beforeAutospacing="0" w:after="0" w:afterAutospacing="0" w:line="600" w:lineRule="exact"/>
        <w:ind w:firstLineChars="200" w:firstLine="640"/>
        <w:jc w:val="both"/>
        <w:rPr>
          <w:rFonts w:ascii="楷体_GB2312" w:eastAsia="楷体_GB2312" w:hAnsi="宋体"/>
          <w:b/>
          <w:kern w:val="2"/>
          <w:sz w:val="32"/>
        </w:rPr>
      </w:pPr>
      <w:r>
        <w:rPr>
          <w:rFonts w:ascii="楷体_GB2312" w:eastAsia="楷体_GB2312" w:hAnsi="宋体" w:hint="eastAsia"/>
          <w:b/>
          <w:kern w:val="2"/>
          <w:sz w:val="32"/>
        </w:rPr>
        <w:t>（四）国有资本经营预算收支执行情况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2024年我市国有资本经营预算收入执行数27,002万元，国有资本经营预算支出执行数2万元，主要是调出到政府性基金预算27,000万元。</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以上是预算执行数，由于上级补助收入和上解支出在省、</w:t>
      </w:r>
      <w:r>
        <w:rPr>
          <w:rFonts w:ascii="仿宋_GB2312" w:eastAsia="仿宋_GB2312" w:hAnsi="宋体" w:hint="eastAsia"/>
        </w:rPr>
        <w:lastRenderedPageBreak/>
        <w:t>市决算编制汇总后可能会有调整，总收入、总支出及净结余也相应会发生一些变化，届时再向人大常委会报告。</w:t>
      </w:r>
    </w:p>
    <w:p w:rsidR="0046003D" w:rsidRDefault="00C32F98" w:rsidP="0076022E">
      <w:pPr>
        <w:spacing w:line="600" w:lineRule="exact"/>
        <w:ind w:firstLineChars="200" w:firstLine="640"/>
        <w:rPr>
          <w:rFonts w:ascii="楷体_GB2312" w:eastAsia="楷体_GB2312" w:hAnsi="宋体"/>
          <w:b/>
        </w:rPr>
      </w:pPr>
      <w:r>
        <w:rPr>
          <w:rFonts w:ascii="楷体_GB2312" w:eastAsia="楷体_GB2312" w:hAnsi="宋体" w:hint="eastAsia"/>
          <w:b/>
        </w:rPr>
        <w:t>（五）2024年财政工作主要成效</w:t>
      </w:r>
    </w:p>
    <w:p w:rsidR="0046003D" w:rsidRDefault="00C32F98">
      <w:pPr>
        <w:pStyle w:val="Default"/>
        <w:spacing w:line="600" w:lineRule="exact"/>
        <w:ind w:firstLineChars="200" w:firstLine="640"/>
        <w:jc w:val="both"/>
        <w:rPr>
          <w:rFonts w:ascii="仿宋_GB2312" w:eastAsia="仿宋_GB2312" w:hAnsi="Times New Roman" w:cs="仿宋_GB2312"/>
          <w:color w:val="auto"/>
          <w:sz w:val="32"/>
          <w:szCs w:val="32"/>
        </w:rPr>
      </w:pPr>
      <w:r>
        <w:rPr>
          <w:rFonts w:ascii="仿宋_GB2312" w:eastAsia="仿宋_GB2312" w:hAnsi="仿宋_GB2312" w:cs="仿宋_GB2312" w:hint="eastAsia"/>
          <w:color w:val="auto"/>
          <w:sz w:val="32"/>
          <w:szCs w:val="32"/>
        </w:rPr>
        <w:t>2024年，财政部门认真</w:t>
      </w:r>
      <w:r w:rsidR="00F9201A">
        <w:rPr>
          <w:rFonts w:ascii="仿宋_GB2312" w:eastAsia="仿宋_GB2312" w:hAnsi="仿宋_GB2312" w:cs="仿宋_GB2312" w:hint="eastAsia"/>
          <w:color w:val="auto"/>
          <w:sz w:val="32"/>
          <w:szCs w:val="32"/>
        </w:rPr>
        <w:t>贯彻</w:t>
      </w:r>
      <w:r>
        <w:rPr>
          <w:rFonts w:ascii="仿宋_GB2312" w:eastAsia="仿宋_GB2312" w:hAnsi="仿宋_GB2312" w:cs="仿宋_GB2312" w:hint="eastAsia"/>
          <w:color w:val="auto"/>
          <w:sz w:val="32"/>
          <w:szCs w:val="32"/>
        </w:rPr>
        <w:t>执行市三届人大四次会议批准的预算，</w:t>
      </w:r>
      <w:r w:rsidR="00BD4BCD" w:rsidRPr="00BD4BCD">
        <w:rPr>
          <w:rFonts w:ascii="仿宋_GB2312" w:eastAsia="仿宋_GB2312" w:hAnsi="仿宋_GB2312" w:cs="仿宋_GB2312" w:hint="eastAsia"/>
          <w:color w:val="auto"/>
          <w:sz w:val="32"/>
          <w:szCs w:val="32"/>
        </w:rPr>
        <w:t>贯彻落实市人大及其常委会的各项决议、审议意见</w:t>
      </w:r>
      <w:r>
        <w:rPr>
          <w:rFonts w:ascii="仿宋_GB2312" w:eastAsia="仿宋_GB2312" w:hAnsi="仿宋_GB2312" w:cs="仿宋_GB2312" w:hint="eastAsia"/>
          <w:color w:val="auto"/>
          <w:sz w:val="32"/>
          <w:szCs w:val="32"/>
        </w:rPr>
        <w:t>，紧紧围绕促增收、稳经济、保重点、强管理等各项工作目标，进一步提升理财效能，促进经济社会事业高质量发展。</w:t>
      </w:r>
    </w:p>
    <w:p w:rsidR="0046003D" w:rsidRDefault="00C32F98" w:rsidP="0076022E">
      <w:pPr>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1.坚持科学组织，锚定目标促增收。</w:t>
      </w:r>
      <w:r>
        <w:rPr>
          <w:rFonts w:ascii="仿宋_GB2312" w:eastAsia="仿宋_GB2312" w:hAnsi="仿宋_GB2312" w:cs="仿宋_GB2312" w:hint="eastAsia"/>
        </w:rPr>
        <w:t>密切关注经济形势、企业运行情况、财税政策的调整变化，准确把握收入趋势，充分发挥财税联合会商机制的积极作用，着力加强对重点行业、重点领域、重大项目和重点税种的分析和预判，强化收入征管，在确保收入质量稳步提升的基础上，全面完成全年税收预期目标。不断加强和规范政府非税收入管理，严格落实非税</w:t>
      </w:r>
      <w:r w:rsidR="00F9201A">
        <w:rPr>
          <w:rFonts w:ascii="仿宋_GB2312" w:eastAsia="仿宋_GB2312" w:hAnsi="仿宋_GB2312" w:cs="仿宋_GB2312" w:hint="eastAsia"/>
        </w:rPr>
        <w:t>收入</w:t>
      </w:r>
      <w:r>
        <w:rPr>
          <w:rFonts w:ascii="仿宋_GB2312" w:eastAsia="仿宋_GB2312" w:hAnsi="仿宋_GB2312" w:cs="仿宋_GB2312" w:hint="eastAsia"/>
        </w:rPr>
        <w:t>收缴政策，加大非税收入征缴力度，确保非税收入及时、足额上缴国库，做到应收尽收。全市一般公共预算收入完成25.02亿元，</w:t>
      </w:r>
      <w:r w:rsidR="005B0453">
        <w:rPr>
          <w:rFonts w:ascii="仿宋_GB2312" w:eastAsia="仿宋_GB2312" w:hAnsi="仿宋_GB2312" w:cs="仿宋_GB2312" w:hint="eastAsia"/>
        </w:rPr>
        <w:t>同比</w:t>
      </w:r>
      <w:r>
        <w:rPr>
          <w:rFonts w:ascii="仿宋_GB2312" w:eastAsia="仿宋_GB2312" w:hAnsi="仿宋_GB2312" w:cs="仿宋_GB2312" w:hint="eastAsia"/>
        </w:rPr>
        <w:t>增长3.88%。</w:t>
      </w:r>
    </w:p>
    <w:p w:rsidR="0046003D" w:rsidRDefault="00C32F98" w:rsidP="0076022E">
      <w:pPr>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2.坚持服务发展，全力以赴稳经济。</w:t>
      </w:r>
      <w:r>
        <w:rPr>
          <w:rFonts w:ascii="仿宋_GB2312" w:eastAsia="仿宋_GB2312" w:hAnsi="仿宋_GB2312" w:cs="仿宋_GB2312" w:hint="eastAsia"/>
        </w:rPr>
        <w:t>坚决落实营商环境优化升级，积极推动各项财税惠企政策落实落细，助力企业快速发展，积极为企业办理增值税留抵退税，实实在在帮助企业减轻负担。切实发挥债券资金稳增长、惠民生重要作用，全市争取新增地方政府债券9.24亿元 ,有力支持了智能电器产业园标准厂房、南湖新城生活污水处理厂网一体化改扩建和垃圾分类建设等重大项目建设。积极推进政府性融资担</w:t>
      </w:r>
      <w:r>
        <w:rPr>
          <w:rFonts w:ascii="仿宋_GB2312" w:eastAsia="仿宋_GB2312" w:hAnsi="仿宋_GB2312" w:cs="仿宋_GB2312" w:hint="eastAsia"/>
        </w:rPr>
        <w:lastRenderedPageBreak/>
        <w:t>保体系建设，有效缓解企业融资难、融资贵等问题，</w:t>
      </w:r>
      <w:bookmarkStart w:id="2" w:name="OLE_LINK3"/>
      <w:bookmarkStart w:id="3" w:name="OLE_LINK4"/>
      <w:r>
        <w:rPr>
          <w:rFonts w:ascii="仿宋_GB2312" w:eastAsia="仿宋_GB2312" w:hAnsi="仿宋_GB2312" w:cs="仿宋_GB2312" w:hint="eastAsia"/>
        </w:rPr>
        <w:t>全市新增发放创业担保贷款2.7亿元，扶持创业507人，带动就业6465人</w:t>
      </w:r>
      <w:bookmarkEnd w:id="2"/>
      <w:r w:rsidR="00C975B9">
        <w:rPr>
          <w:rFonts w:ascii="仿宋_GB2312" w:eastAsia="仿宋_GB2312" w:hAnsi="仿宋_GB2312" w:cs="仿宋_GB2312" w:hint="eastAsia"/>
        </w:rPr>
        <w:t>；</w:t>
      </w:r>
      <w:r>
        <w:rPr>
          <w:rFonts w:ascii="仿宋_GB2312" w:eastAsia="仿宋_GB2312" w:hAnsi="仿宋_GB2312" w:cs="仿宋_GB2312" w:hint="eastAsia"/>
        </w:rPr>
        <w:t>用好“财园信贷通”优惠政策，全市“财园信贷通”合作银行放款51户，放款金额2.35亿元。</w:t>
      </w:r>
    </w:p>
    <w:bookmarkEnd w:id="3"/>
    <w:p w:rsidR="0046003D" w:rsidRDefault="00C32F98" w:rsidP="0076022E">
      <w:pPr>
        <w:pStyle w:val="a6"/>
        <w:widowControl/>
        <w:spacing w:before="0" w:beforeAutospacing="0" w:after="0" w:afterAutospacing="0" w:line="600" w:lineRule="exact"/>
        <w:ind w:firstLineChars="200" w:firstLine="640"/>
        <w:jc w:val="both"/>
        <w:rPr>
          <w:rFonts w:ascii="仿宋_GB2312" w:eastAsia="仿宋_GB2312" w:hAnsi="仿宋_GB2312" w:cs="仿宋_GB2312"/>
          <w:kern w:val="2"/>
          <w:sz w:val="32"/>
        </w:rPr>
      </w:pPr>
      <w:r>
        <w:rPr>
          <w:rFonts w:ascii="仿宋_GB2312" w:eastAsia="仿宋_GB2312" w:hAnsi="仿宋_GB2312" w:cs="仿宋_GB2312" w:hint="eastAsia"/>
          <w:b/>
          <w:bCs/>
          <w:kern w:val="2"/>
          <w:sz w:val="32"/>
        </w:rPr>
        <w:t>3.坚持过紧日子，集中财力保重点。</w:t>
      </w:r>
      <w:r>
        <w:rPr>
          <w:rFonts w:ascii="仿宋_GB2312" w:eastAsia="仿宋_GB2312" w:hAnsi="仿宋_GB2312" w:cs="仿宋_GB2312" w:hint="eastAsia"/>
          <w:kern w:val="2"/>
          <w:sz w:val="32"/>
        </w:rPr>
        <w:t>将</w:t>
      </w:r>
      <w:r w:rsidR="00C975B9">
        <w:rPr>
          <w:rFonts w:ascii="仿宋_GB2312" w:eastAsia="仿宋_GB2312" w:hAnsi="仿宋_GB2312" w:cs="仿宋_GB2312" w:hint="eastAsia"/>
          <w:kern w:val="2"/>
          <w:sz w:val="32"/>
        </w:rPr>
        <w:t>“</w:t>
      </w:r>
      <w:r>
        <w:rPr>
          <w:rFonts w:ascii="仿宋_GB2312" w:eastAsia="仿宋_GB2312" w:hAnsi="仿宋_GB2312" w:cs="仿宋_GB2312" w:hint="eastAsia"/>
          <w:kern w:val="2"/>
          <w:sz w:val="32"/>
        </w:rPr>
        <w:t>过紧日子</w:t>
      </w:r>
      <w:r w:rsidR="00C975B9">
        <w:rPr>
          <w:rFonts w:ascii="仿宋_GB2312" w:eastAsia="仿宋_GB2312" w:hAnsi="仿宋_GB2312" w:cs="仿宋_GB2312" w:hint="eastAsia"/>
          <w:kern w:val="2"/>
          <w:sz w:val="32"/>
        </w:rPr>
        <w:t>”</w:t>
      </w:r>
      <w:r>
        <w:rPr>
          <w:rFonts w:ascii="仿宋_GB2312" w:eastAsia="仿宋_GB2312" w:hAnsi="仿宋_GB2312" w:cs="仿宋_GB2312" w:hint="eastAsia"/>
          <w:kern w:val="2"/>
          <w:sz w:val="32"/>
        </w:rPr>
        <w:t>作为长期坚持的方针，大力压减一般性支出，严控“三公”经费，优化结构，兜牢底线；</w:t>
      </w:r>
      <w:bookmarkStart w:id="4" w:name="OLE_LINK5"/>
      <w:r>
        <w:rPr>
          <w:rFonts w:ascii="仿宋_GB2312" w:eastAsia="仿宋_GB2312" w:hAnsi="仿宋_GB2312" w:cs="仿宋_GB2312" w:hint="eastAsia"/>
          <w:kern w:val="2"/>
          <w:sz w:val="32"/>
        </w:rPr>
        <w:t>坚决防范“造价不实”“过度设计”等问题，全市共计完成财政评审金额25.34亿元，审减金额1.68亿元，审减率6.63%</w:t>
      </w:r>
      <w:bookmarkEnd w:id="4"/>
      <w:r>
        <w:rPr>
          <w:rFonts w:ascii="仿宋_GB2312" w:eastAsia="仿宋_GB2312" w:hAnsi="仿宋_GB2312" w:cs="仿宋_GB2312" w:hint="eastAsia"/>
          <w:kern w:val="2"/>
          <w:sz w:val="32"/>
        </w:rPr>
        <w:t>，将节省资金更多投向“三保”等重点领域，全市民生类支出完成26.38亿元，占一般公共预算支出比重稳定在81%左右，其中社会保障和就业支出完成 2.32亿元，增长4.76%；农林水支出完成3.87亿元，增长8.57%，民生福祉不断改善。</w:t>
      </w:r>
    </w:p>
    <w:p w:rsidR="0046003D" w:rsidRDefault="00C32F98" w:rsidP="0076022E">
      <w:pPr>
        <w:pStyle w:val="2"/>
        <w:spacing w:after="0" w:line="600" w:lineRule="exact"/>
        <w:ind w:leftChars="0" w:left="0" w:firstLine="640"/>
        <w:rPr>
          <w:rFonts w:ascii="仿宋_GB2312" w:hAnsi="仿宋_GB2312" w:cs="仿宋_GB2312"/>
        </w:rPr>
      </w:pPr>
      <w:r>
        <w:rPr>
          <w:rFonts w:ascii="仿宋_GB2312" w:hAnsi="仿宋_GB2312" w:cs="仿宋_GB2312" w:hint="eastAsia"/>
          <w:b/>
          <w:bCs/>
        </w:rPr>
        <w:t>4.坚持深化改革，常抓不懈强管理。</w:t>
      </w:r>
      <w:r>
        <w:rPr>
          <w:rFonts w:ascii="仿宋_GB2312" w:hAnsi="仿宋_GB2312" w:cs="仿宋_GB2312" w:hint="eastAsia"/>
        </w:rPr>
        <w:t>深入贯彻习近平总书记关于整治群众身边不正之风和腐败问题的重要指示批示精神，坚持问题导向，针对群众身边不正之风和腐败问题集中整治和近年来财会监督检查发现的问题，直面乡镇财政资金管理的薄弱环节，制定《共青城市乡镇财政资金试点管理办法（试行）》和《关于进一步严控乡镇五项费用支出管理的实施方案》等文件，进一步强化和规范乡镇财政资金管理，严肃基层财经纪律。推广运用乡镇国库集中支付环节前置人脸识别认证技术，提高乡镇国库集中支付业务操作的安全性、合规性和可追溯性，推动乡镇财政资金监管体系更加</w:t>
      </w:r>
      <w:r>
        <w:rPr>
          <w:rFonts w:ascii="仿宋_GB2312" w:hAnsi="仿宋_GB2312" w:cs="仿宋_GB2312" w:hint="eastAsia"/>
        </w:rPr>
        <w:lastRenderedPageBreak/>
        <w:t>严密、管理机制更加完善，有效防范乡镇财政资金安全风险。设立地方政府专项债券资金子账户和超长期特别国债子账户，对用于置换隐性债务的地方政府专项债券资金和超长期特别国债实行专户管理、专账核算、封闭运行，避免债券资金违规挪用。</w:t>
      </w:r>
    </w:p>
    <w:p w:rsidR="0046003D" w:rsidRDefault="00C32F98">
      <w:pPr>
        <w:widowControl/>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从2024年财政执行情况看，全市财政收入稳步增长，财政收支运行良好，实现了财政与经济的协调发展，但也要清醒认识到，当前财政运行管理中还存在一些突出的困难：一是财政收入实现稳增长难度较大</w:t>
      </w:r>
      <w:r>
        <w:rPr>
          <w:rFonts w:ascii="仿宋_GB2312" w:eastAsia="仿宋_GB2312" w:hAnsi="宋体" w:cs="仿宋_GB2312"/>
          <w:kern w:val="0"/>
        </w:rPr>
        <w:t>，</w:t>
      </w:r>
      <w:r>
        <w:rPr>
          <w:rFonts w:ascii="仿宋_GB2312" w:eastAsia="仿宋_GB2312" w:hAnsi="宋体" w:cs="仿宋_GB2312" w:hint="eastAsia"/>
          <w:kern w:val="0"/>
        </w:rPr>
        <w:t>收入结构不合理，主要依赖新经济税收</w:t>
      </w:r>
      <w:r>
        <w:rPr>
          <w:rFonts w:ascii="仿宋_GB2312" w:eastAsia="仿宋_GB2312" w:hAnsi="仿宋_GB2312" w:cs="仿宋_GB2312" w:hint="eastAsia"/>
        </w:rPr>
        <w:t>；二是财政紧平衡状态仍将持续。一般公共预算收入增速放缓，国有土地出让收入仅完成年初预算的47%，可用财力紧张问题凸显；三是财政刚性支出增长迅速，债务还本付息资金近9亿元，昌九高铁分摊上解资金1.8亿元。对此，我们将保持高度的紧迫感和责任感，主动作为，积极应对，采取有效措施，在今后的工作中予以妥善解决，恳请各位代表和委员一如既往地理解、支持和指导。</w:t>
      </w:r>
    </w:p>
    <w:p w:rsidR="0046003D" w:rsidRDefault="00C32F98">
      <w:pPr>
        <w:spacing w:line="600" w:lineRule="exact"/>
        <w:ind w:firstLineChars="200" w:firstLine="640"/>
        <w:rPr>
          <w:rFonts w:ascii="黑体" w:eastAsia="黑体" w:hAnsi="宋体"/>
        </w:rPr>
      </w:pPr>
      <w:r>
        <w:rPr>
          <w:rFonts w:ascii="黑体" w:eastAsia="黑体" w:hAnsi="宋体" w:hint="eastAsia"/>
        </w:rPr>
        <w:t>二、2025年财政预算草案</w:t>
      </w:r>
      <w:r>
        <w:rPr>
          <w:rFonts w:ascii="黑体" w:eastAsia="黑体" w:hAnsi="宋体" w:hint="eastAsia"/>
        </w:rPr>
        <w:tab/>
      </w:r>
    </w:p>
    <w:p w:rsidR="0046003D" w:rsidRDefault="00C32F98">
      <w:pPr>
        <w:widowControl/>
        <w:spacing w:line="600" w:lineRule="exact"/>
        <w:ind w:firstLineChars="200" w:firstLine="640"/>
        <w:rPr>
          <w:rFonts w:ascii="仿宋_GB2312" w:eastAsia="仿宋_GB2312" w:hAnsi="宋体"/>
        </w:rPr>
      </w:pPr>
      <w:r>
        <w:rPr>
          <w:rFonts w:ascii="仿宋_GB2312" w:eastAsia="仿宋_GB2312" w:hAnsi="仿宋_GB2312" w:cs="仿宋_GB2312" w:hint="eastAsia"/>
          <w:bCs/>
        </w:rPr>
        <w:t>我市2025年财政预算编制遵循“量入为出，量力而行，突出重点，稳中提质”四大原则。收入方面：根据省、市宏观经济形势，科学合理测算收入预期，深入挖掘潜力，提升财政统筹保障能力。支出方面：坚持党政机关“过紧日子”要求，按照零基预算编制方法，优化财政资金支持方向，大力压缩非刚性、非必要支出，兜牢刚性支出底线。持续深化</w:t>
      </w:r>
      <w:r>
        <w:rPr>
          <w:rFonts w:ascii="仿宋_GB2312" w:eastAsia="仿宋_GB2312" w:hAnsi="仿宋_GB2312" w:cs="仿宋_GB2312" w:hint="eastAsia"/>
          <w:bCs/>
        </w:rPr>
        <w:lastRenderedPageBreak/>
        <w:t>部门预算管理改革，规范项目库管理。全面实施预算绩效管理，加强绩效评价结果应用，不断建立完善标准科学、规范透明、约束有力的预算管理制度。</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综合考虑2025年收入增减因素和各方面需求变化，结合我市实际，编制了2025年财政预算草案。</w:t>
      </w:r>
    </w:p>
    <w:p w:rsidR="0046003D" w:rsidRDefault="00C32F98" w:rsidP="0076022E">
      <w:pPr>
        <w:spacing w:line="600" w:lineRule="exact"/>
        <w:ind w:firstLineChars="200" w:firstLine="640"/>
        <w:rPr>
          <w:rFonts w:ascii="楷体_GB2312" w:eastAsia="楷体_GB2312" w:hAnsi="宋体"/>
          <w:b/>
        </w:rPr>
      </w:pPr>
      <w:r>
        <w:rPr>
          <w:rFonts w:ascii="楷体_GB2312" w:eastAsia="楷体_GB2312" w:hAnsi="宋体" w:hint="eastAsia"/>
          <w:b/>
        </w:rPr>
        <w:t>（一）一般公共预算收支安排情况</w:t>
      </w:r>
    </w:p>
    <w:p w:rsidR="0046003D" w:rsidRDefault="00C32F98" w:rsidP="0076022E">
      <w:pPr>
        <w:spacing w:line="600" w:lineRule="exact"/>
        <w:ind w:firstLineChars="200" w:firstLine="640"/>
        <w:rPr>
          <w:rFonts w:ascii="仿宋_GB2312" w:eastAsia="仿宋_GB2312" w:hAnsi="宋体"/>
          <w:b/>
        </w:rPr>
      </w:pPr>
      <w:r>
        <w:rPr>
          <w:rFonts w:ascii="仿宋_GB2312" w:eastAsia="仿宋_GB2312" w:hAnsi="宋体" w:hint="eastAsia"/>
          <w:b/>
        </w:rPr>
        <w:t>1.一般公共预算收入安排情况</w:t>
      </w:r>
    </w:p>
    <w:p w:rsidR="0046003D" w:rsidRDefault="00C32F98">
      <w:pPr>
        <w:spacing w:line="600" w:lineRule="exact"/>
        <w:ind w:firstLineChars="200" w:firstLine="640"/>
        <w:rPr>
          <w:rFonts w:ascii="仿宋_GB2312" w:eastAsia="仿宋_GB2312" w:hAnsi="仿宋" w:cs="宋体"/>
          <w:kern w:val="0"/>
        </w:rPr>
      </w:pPr>
      <w:r>
        <w:rPr>
          <w:rFonts w:ascii="仿宋_GB2312" w:eastAsia="仿宋_GB2312" w:hAnsi="宋体" w:hint="eastAsia"/>
        </w:rPr>
        <w:t>2025年</w:t>
      </w:r>
      <w:r>
        <w:rPr>
          <w:rFonts w:ascii="仿宋_GB2312" w:eastAsia="仿宋_GB2312" w:hAnsi="仿宋" w:cs="宋体" w:hint="eastAsia"/>
          <w:kern w:val="0"/>
        </w:rPr>
        <w:t>一般公共预算收入预计完成252,960万元，比上年执行数增长1.1%。</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bCs/>
        </w:rPr>
        <w:t>一般公共预算收入</w:t>
      </w:r>
      <w:r>
        <w:rPr>
          <w:rFonts w:ascii="仿宋_GB2312" w:eastAsia="仿宋_GB2312" w:hAnsi="宋体" w:hint="eastAsia"/>
        </w:rPr>
        <w:t>主要预计情况是：</w:t>
      </w:r>
      <w:r>
        <w:rPr>
          <w:rFonts w:ascii="仿宋_GB2312" w:eastAsia="仿宋_GB2312" w:hAnsi="宋体" w:hint="eastAsia"/>
          <w:bCs/>
        </w:rPr>
        <w:t>税收收入</w:t>
      </w:r>
      <w:r>
        <w:rPr>
          <w:rFonts w:ascii="仿宋_GB2312" w:eastAsia="仿宋_GB2312" w:hAnsi="宋体" w:hint="eastAsia"/>
        </w:rPr>
        <w:t>202,960</w:t>
      </w:r>
      <w:r>
        <w:rPr>
          <w:rFonts w:ascii="仿宋_GB2312" w:eastAsia="仿宋_GB2312" w:hAnsi="宋体" w:hint="eastAsia"/>
          <w:bCs/>
        </w:rPr>
        <w:t>万元</w:t>
      </w:r>
      <w:r>
        <w:rPr>
          <w:rFonts w:ascii="仿宋_GB2312" w:eastAsia="仿宋_GB2312" w:hAnsi="宋体" w:hint="eastAsia"/>
        </w:rPr>
        <w:t>，其中：增值税58,000万元、企业所得税13,500万元、个人所得税88,425万元、城市维护建设税9,500万元、房产税7,100万元、印花税2,600万元、城镇土地使用税8,200万元、土地增值税8,200万元、车船税700万元、耕地占用税2,200万元、契税4,500万元、环境保护税35万元。</w:t>
      </w:r>
      <w:r>
        <w:rPr>
          <w:rFonts w:ascii="仿宋_GB2312" w:eastAsia="仿宋_GB2312" w:hAnsi="宋体" w:hint="eastAsia"/>
          <w:bCs/>
        </w:rPr>
        <w:t>非税收入50,000万元，</w:t>
      </w:r>
      <w:r>
        <w:rPr>
          <w:rFonts w:ascii="仿宋_GB2312" w:eastAsia="仿宋_GB2312" w:hAnsi="宋体" w:hint="eastAsia"/>
        </w:rPr>
        <w:t>其中：国有资源（资产）有偿使用收入12,000万元、国有资本经营收入20,000万元、行政事业性收费1,500万元、罚没收入11,400万元、专项收入4,500万元、其他收入500万元、政府住房基金收入100万元。</w:t>
      </w:r>
    </w:p>
    <w:p w:rsidR="0046003D" w:rsidRDefault="00C32F98" w:rsidP="0076022E">
      <w:pPr>
        <w:spacing w:line="600" w:lineRule="exact"/>
        <w:ind w:firstLineChars="200" w:firstLine="640"/>
        <w:rPr>
          <w:rFonts w:ascii="仿宋_GB2312" w:eastAsia="仿宋_GB2312" w:hAnsi="宋体"/>
          <w:b/>
        </w:rPr>
      </w:pPr>
      <w:r>
        <w:rPr>
          <w:rFonts w:ascii="仿宋_GB2312" w:eastAsia="仿宋_GB2312" w:hAnsi="宋体" w:hint="eastAsia"/>
          <w:b/>
        </w:rPr>
        <w:t>2.一般公共预算支出安排情况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rPr>
        <w:t>2025年一般公共预算收入252,960万元，加上上级补助收入59,561万元</w:t>
      </w:r>
      <w:r>
        <w:rPr>
          <w:rFonts w:ascii="仿宋_GB2312" w:eastAsia="仿宋_GB2312" w:hAnsi="宋体" w:hint="eastAsia"/>
        </w:rPr>
        <w:t>，</w:t>
      </w:r>
      <w:r>
        <w:rPr>
          <w:rFonts w:ascii="仿宋_GB2312" w:eastAsia="仿宋_GB2312" w:hAnsi="宋体"/>
        </w:rPr>
        <w:t>地方政府一般债务转贷收入31,122万元，</w:t>
      </w:r>
      <w:r>
        <w:rPr>
          <w:rFonts w:ascii="仿宋_GB2312" w:eastAsia="仿宋_GB2312" w:hAnsi="宋体" w:hint="eastAsia"/>
        </w:rPr>
        <w:t>调入资金14</w:t>
      </w:r>
      <w:r>
        <w:rPr>
          <w:rFonts w:ascii="仿宋_GB2312" w:eastAsia="仿宋_GB2312" w:hAnsi="宋体"/>
        </w:rPr>
        <w:t>,</w:t>
      </w:r>
      <w:r>
        <w:rPr>
          <w:rFonts w:ascii="仿宋_GB2312" w:eastAsia="仿宋_GB2312" w:hAnsi="宋体" w:hint="eastAsia"/>
        </w:rPr>
        <w:t>993万元，</w:t>
      </w:r>
      <w:r>
        <w:rPr>
          <w:rFonts w:ascii="仿宋_GB2312" w:eastAsia="仿宋_GB2312" w:hAnsi="宋体"/>
        </w:rPr>
        <w:t>动用预算稳定调节基金16,674</w:t>
      </w:r>
      <w:r>
        <w:rPr>
          <w:rFonts w:ascii="仿宋_GB2312" w:eastAsia="仿宋_GB2312" w:hAnsi="宋体"/>
        </w:rPr>
        <w:lastRenderedPageBreak/>
        <w:t>万元及上年结余3,503万元，减去预计上解支出13,256万元，地方政府一般债务还本支出36,297万元，预算财力为3</w:t>
      </w:r>
      <w:r>
        <w:rPr>
          <w:rFonts w:ascii="仿宋_GB2312" w:eastAsia="仿宋_GB2312" w:hAnsi="宋体" w:hint="eastAsia"/>
        </w:rPr>
        <w:t>29</w:t>
      </w:r>
      <w:r>
        <w:rPr>
          <w:rFonts w:ascii="仿宋_GB2312" w:eastAsia="仿宋_GB2312" w:hAnsi="宋体"/>
        </w:rPr>
        <w:t>,26</w:t>
      </w:r>
      <w:r>
        <w:rPr>
          <w:rFonts w:ascii="仿宋_GB2312" w:eastAsia="仿宋_GB2312" w:hAnsi="宋体" w:hint="eastAsia"/>
        </w:rPr>
        <w:t>0</w:t>
      </w:r>
      <w:r>
        <w:rPr>
          <w:rFonts w:ascii="仿宋_GB2312" w:eastAsia="仿宋_GB2312" w:hAnsi="宋体"/>
        </w:rPr>
        <w:t>万元。预计结余1,187万元，预计安排预算稳定调节基金14,087万元，2025年预算支出预计可安排</w:t>
      </w:r>
      <w:r>
        <w:rPr>
          <w:rFonts w:ascii="仿宋_GB2312" w:eastAsia="仿宋_GB2312" w:hAnsi="宋体" w:hint="eastAsia"/>
        </w:rPr>
        <w:t>313</w:t>
      </w:r>
      <w:r>
        <w:rPr>
          <w:rFonts w:ascii="仿宋_GB2312" w:eastAsia="仿宋_GB2312" w:hAnsi="宋体"/>
        </w:rPr>
        <w:t>,9</w:t>
      </w:r>
      <w:r>
        <w:rPr>
          <w:rFonts w:ascii="仿宋_GB2312" w:eastAsia="仿宋_GB2312" w:hAnsi="宋体" w:hint="eastAsia"/>
        </w:rPr>
        <w:t>86</w:t>
      </w:r>
      <w:r>
        <w:rPr>
          <w:rFonts w:ascii="仿宋_GB2312" w:eastAsia="仿宋_GB2312" w:hAnsi="宋体"/>
        </w:rPr>
        <w:t>万元，预算收支平衡。需要说明的是，上级转移支付资金只做提前下达部分，未收到的暂未列入年初预算。分科目安排如下：</w:t>
      </w:r>
    </w:p>
    <w:p w:rsidR="0046003D" w:rsidRDefault="00C32F98">
      <w:pPr>
        <w:spacing w:line="600" w:lineRule="exact"/>
        <w:ind w:firstLineChars="200" w:firstLine="640"/>
        <w:rPr>
          <w:rFonts w:ascii="仿宋_GB2312" w:eastAsia="仿宋_GB2312" w:hAnsi="宋体"/>
        </w:rPr>
      </w:pPr>
      <w:r>
        <w:rPr>
          <w:rFonts w:ascii="仿宋_GB2312" w:eastAsia="仿宋_GB2312" w:hAnsi="宋体"/>
        </w:rPr>
        <w:t>主要支出项目安排情况是：一般公共服务支出24,224万元；国防支出215万元；公共安全支出7,448万元；教育支出58,576万元；科学技术支出17,250万元；文化旅游体育与传媒支出12,083万元；社会保障和就业支出13,468万元；卫生健康支出11,399万元；节能环保支出15,112万元；城乡社区支出</w:t>
      </w:r>
      <w:r>
        <w:rPr>
          <w:rFonts w:ascii="仿宋_GB2312" w:eastAsia="仿宋_GB2312" w:hAnsi="宋体" w:hint="eastAsia"/>
        </w:rPr>
        <w:t>102</w:t>
      </w:r>
      <w:r>
        <w:rPr>
          <w:rFonts w:ascii="仿宋_GB2312" w:eastAsia="仿宋_GB2312" w:hAnsi="宋体"/>
        </w:rPr>
        <w:t>,7</w:t>
      </w:r>
      <w:r>
        <w:rPr>
          <w:rFonts w:ascii="仿宋_GB2312" w:eastAsia="仿宋_GB2312" w:hAnsi="宋体" w:hint="eastAsia"/>
        </w:rPr>
        <w:t>68</w:t>
      </w:r>
      <w:r>
        <w:rPr>
          <w:rFonts w:ascii="仿宋_GB2312" w:eastAsia="仿宋_GB2312" w:hAnsi="宋体"/>
        </w:rPr>
        <w:t>万元；农林水支出29,507万元；交通运输支出2,071万元；资源勘探信息等支出2,695万元；商业服务业支出406万元；自然资源海洋气象等支出1,490万元；住房保障支出1,480万元；粮油物资储备支出175万元；灾害防治及应急管理支出2,279万元；预备费3,000万元；其他支出80万元；债务付息支出8,235万元；债务发行费用支出25万元。</w:t>
      </w:r>
    </w:p>
    <w:p w:rsidR="0046003D" w:rsidRDefault="00C32F98" w:rsidP="0076022E">
      <w:pPr>
        <w:spacing w:line="600" w:lineRule="exact"/>
        <w:ind w:firstLineChars="200" w:firstLine="640"/>
        <w:rPr>
          <w:rFonts w:ascii="楷体_GB2312" w:eastAsia="楷体_GB2312" w:hAnsi="宋体"/>
          <w:b/>
        </w:rPr>
      </w:pPr>
      <w:r>
        <w:rPr>
          <w:rFonts w:ascii="楷体_GB2312" w:eastAsia="楷体_GB2312" w:hAnsi="宋体" w:hint="eastAsia"/>
          <w:b/>
        </w:rPr>
        <w:t>（二）政府性基金预算收支安排情况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2025年政府性基金预算收入预计141,467万元，其中：国有土地使用权出让收入120,000万元、彩票公益金收入400万元、城市基础设施配套费收入600万元、污水处理费</w:t>
      </w:r>
      <w:r>
        <w:rPr>
          <w:rFonts w:ascii="仿宋_GB2312" w:eastAsia="仿宋_GB2312" w:hAnsi="宋体" w:hint="eastAsia"/>
        </w:rPr>
        <w:lastRenderedPageBreak/>
        <w:t>收入800万元，其他政府性基金收入19,667万元。</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上述政府性基金预算收入141,467万元，加上提前下达上级转移支付收入702万元、上年结余27,328万元、地方政府专项债务转贷收入47,900万元，减去上解支出2,400万元及地方政府专项债务还本支出48,648万元，预算财力为166,349万元。预计结余25,458万元，2025年预算支出预计可安排140,891万元，预算收支平衡。</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主要支出项目安排情况是：文化旅游体育与传媒支出10万元；城乡社区支出118,774万元；农林水支出1,325万元；资源勘探工业信息等支出397万元；其他支出593万元；债务付息支出19,667万元；债务发行费用支出125万元。</w:t>
      </w:r>
    </w:p>
    <w:p w:rsidR="0046003D" w:rsidRDefault="00C32F98" w:rsidP="0076022E">
      <w:pPr>
        <w:spacing w:line="600" w:lineRule="exact"/>
        <w:ind w:firstLineChars="200" w:firstLine="640"/>
        <w:rPr>
          <w:rFonts w:ascii="楷体_GB2312" w:eastAsia="楷体_GB2312" w:hAnsi="宋体"/>
          <w:b/>
        </w:rPr>
      </w:pPr>
      <w:bookmarkStart w:id="5" w:name="OLE_LINK2"/>
      <w:r>
        <w:rPr>
          <w:rFonts w:ascii="楷体_GB2312" w:eastAsia="楷体_GB2312" w:hAnsi="宋体" w:hint="eastAsia"/>
          <w:b/>
        </w:rPr>
        <w:t>（三）社会保险基金预算收支安排情况</w:t>
      </w:r>
    </w:p>
    <w:bookmarkEnd w:id="5"/>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2025年社会保险基金收入</w:t>
      </w:r>
      <w:r w:rsidR="00C438A3">
        <w:rPr>
          <w:rFonts w:ascii="仿宋_GB2312" w:eastAsia="仿宋_GB2312" w:hAnsi="宋体" w:hint="eastAsia"/>
        </w:rPr>
        <w:t>预计</w:t>
      </w:r>
      <w:r>
        <w:rPr>
          <w:rFonts w:ascii="仿宋_GB2312" w:eastAsia="仿宋_GB2312" w:hAnsi="宋体" w:hint="eastAsia"/>
        </w:rPr>
        <w:t>13,216万元，其中：城乡居民基本养老保险4,976万元，机关事业单位养老保险8,240万元。</w:t>
      </w:r>
    </w:p>
    <w:p w:rsidR="0046003D" w:rsidRDefault="00C32F98">
      <w:pPr>
        <w:spacing w:line="600" w:lineRule="exact"/>
        <w:ind w:firstLineChars="200" w:firstLine="640"/>
        <w:rPr>
          <w:rFonts w:ascii="仿宋_GB2312" w:eastAsia="仿宋_GB2312" w:hAnsi="宋体"/>
        </w:rPr>
      </w:pPr>
      <w:r>
        <w:rPr>
          <w:rFonts w:ascii="仿宋_GB2312" w:eastAsia="仿宋_GB2312" w:hAnsi="宋体" w:hint="eastAsia"/>
        </w:rPr>
        <w:t>2025年社会保险基金支出</w:t>
      </w:r>
      <w:r w:rsidR="00C438A3">
        <w:rPr>
          <w:rFonts w:ascii="仿宋_GB2312" w:eastAsia="仿宋_GB2312" w:hAnsi="宋体" w:hint="eastAsia"/>
        </w:rPr>
        <w:t>预计</w:t>
      </w:r>
      <w:r>
        <w:rPr>
          <w:rFonts w:ascii="仿宋_GB2312" w:eastAsia="仿宋_GB2312" w:hAnsi="宋体" w:hint="eastAsia"/>
        </w:rPr>
        <w:t>10,616万元，其中：城乡居民基本养老保险3,910万元，机关事业单位养老保险6,706万元。当年收支结余2,600万元。</w:t>
      </w:r>
    </w:p>
    <w:p w:rsidR="0046003D" w:rsidRDefault="00C32F98" w:rsidP="0076022E">
      <w:pPr>
        <w:spacing w:line="600" w:lineRule="exact"/>
        <w:ind w:firstLineChars="200" w:firstLine="640"/>
        <w:rPr>
          <w:rFonts w:ascii="楷体_GB2312" w:eastAsia="楷体_GB2312" w:hAnsi="宋体"/>
          <w:b/>
        </w:rPr>
      </w:pPr>
      <w:r>
        <w:rPr>
          <w:rFonts w:ascii="楷体_GB2312" w:eastAsia="楷体_GB2312" w:hAnsi="宋体" w:hint="eastAsia"/>
          <w:b/>
        </w:rPr>
        <w:t>（四）国有资本经营预算收支安排情况</w:t>
      </w:r>
    </w:p>
    <w:p w:rsidR="0046003D" w:rsidRDefault="00C32F98">
      <w:pPr>
        <w:spacing w:line="600" w:lineRule="exact"/>
        <w:ind w:firstLineChars="200" w:firstLine="640"/>
        <w:rPr>
          <w:rFonts w:ascii="仿宋_GB2312" w:eastAsia="仿宋_GB2312" w:hAnsi="宋体"/>
        </w:rPr>
      </w:pPr>
      <w:r>
        <w:rPr>
          <w:rFonts w:ascii="仿宋_GB2312" w:eastAsia="仿宋_GB2312" w:hAnsi="宋体"/>
        </w:rPr>
        <w:t>2025年我市国有资本经营收入预计</w:t>
      </w:r>
      <w:r>
        <w:rPr>
          <w:rFonts w:ascii="仿宋_GB2312" w:eastAsia="仿宋_GB2312" w:hAnsi="宋体" w:hint="eastAsia"/>
        </w:rPr>
        <w:t>14</w:t>
      </w:r>
      <w:r>
        <w:rPr>
          <w:rFonts w:ascii="仿宋_GB2312" w:eastAsia="仿宋_GB2312" w:hAnsi="宋体"/>
        </w:rPr>
        <w:t>,</w:t>
      </w:r>
      <w:r>
        <w:rPr>
          <w:rFonts w:ascii="仿宋_GB2312" w:eastAsia="仿宋_GB2312" w:hAnsi="宋体" w:hint="eastAsia"/>
        </w:rPr>
        <w:t>995</w:t>
      </w:r>
      <w:r>
        <w:rPr>
          <w:rFonts w:ascii="仿宋_GB2312" w:eastAsia="仿宋_GB2312" w:hAnsi="宋体"/>
        </w:rPr>
        <w:t>万元，国有资本经营支出</w:t>
      </w:r>
      <w:r w:rsidR="00C438A3">
        <w:rPr>
          <w:rFonts w:ascii="仿宋_GB2312" w:eastAsia="仿宋_GB2312" w:hAnsi="宋体" w:hint="eastAsia"/>
        </w:rPr>
        <w:t>预计</w:t>
      </w:r>
      <w:r>
        <w:rPr>
          <w:rFonts w:ascii="仿宋_GB2312" w:eastAsia="仿宋_GB2312" w:hAnsi="宋体"/>
        </w:rPr>
        <w:t>2万元</w:t>
      </w:r>
      <w:r>
        <w:rPr>
          <w:rFonts w:ascii="仿宋_GB2312" w:eastAsia="仿宋_GB2312" w:hAnsi="宋体" w:hint="eastAsia"/>
        </w:rPr>
        <w:t>，调入一般公共预算14</w:t>
      </w:r>
      <w:r>
        <w:rPr>
          <w:rFonts w:ascii="仿宋_GB2312" w:eastAsia="仿宋_GB2312" w:hAnsi="宋体"/>
        </w:rPr>
        <w:t>,</w:t>
      </w:r>
      <w:r>
        <w:rPr>
          <w:rFonts w:ascii="仿宋_GB2312" w:eastAsia="仿宋_GB2312" w:hAnsi="宋体" w:hint="eastAsia"/>
        </w:rPr>
        <w:t>993</w:t>
      </w:r>
      <w:r>
        <w:rPr>
          <w:rFonts w:ascii="仿宋_GB2312" w:eastAsia="仿宋_GB2312" w:hAnsi="宋体"/>
        </w:rPr>
        <w:t>万元。</w:t>
      </w:r>
    </w:p>
    <w:p w:rsidR="0046003D" w:rsidRDefault="00C32F98">
      <w:pPr>
        <w:spacing w:line="600" w:lineRule="exact"/>
        <w:ind w:firstLineChars="200" w:firstLine="640"/>
        <w:rPr>
          <w:rFonts w:ascii="黑体" w:eastAsia="黑体" w:hAnsi="宋体"/>
        </w:rPr>
      </w:pPr>
      <w:r>
        <w:rPr>
          <w:rFonts w:ascii="黑体" w:eastAsia="黑体" w:hAnsi="宋体" w:hint="eastAsia"/>
        </w:rPr>
        <w:t>三、稳中求进，真抓实干，确保完成2025年预算任务</w:t>
      </w:r>
    </w:p>
    <w:p w:rsidR="0046003D" w:rsidRDefault="00C32F98">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kern w:val="2"/>
          <w:sz w:val="32"/>
          <w:szCs w:val="32"/>
        </w:rPr>
        <w:t>2025年，</w:t>
      </w:r>
      <w:r>
        <w:rPr>
          <w:rFonts w:ascii="仿宋_GB2312" w:eastAsia="仿宋_GB2312" w:hAnsi="仿宋_GB2312" w:cs="仿宋_GB2312" w:hint="eastAsia"/>
          <w:color w:val="auto"/>
          <w:sz w:val="32"/>
          <w:szCs w:val="32"/>
        </w:rPr>
        <w:t>我们将按照省、九江市、赣江新区和我市市委、</w:t>
      </w:r>
      <w:r>
        <w:rPr>
          <w:rFonts w:ascii="仿宋_GB2312" w:eastAsia="仿宋_GB2312" w:hAnsi="仿宋_GB2312" w:cs="仿宋_GB2312" w:hint="eastAsia"/>
          <w:color w:val="auto"/>
          <w:sz w:val="32"/>
          <w:szCs w:val="32"/>
        </w:rPr>
        <w:lastRenderedPageBreak/>
        <w:t>市政府的要求，强化措施、狠抓落实，牢牢把握经济工作的主动权，聚焦“走在前、勇争先、善作为”的目标要求，从我市市情入手，有效实施积极的财政政策，推动经济转型升级，做优做实财政收入；牢固树立</w:t>
      </w:r>
      <w:r w:rsidR="00C438A3">
        <w:rPr>
          <w:rFonts w:ascii="仿宋_GB2312" w:eastAsia="仿宋_GB2312" w:hAnsi="仿宋_GB2312" w:cs="仿宋_GB2312" w:hint="eastAsia"/>
          <w:bCs/>
          <w:color w:val="auto"/>
          <w:sz w:val="32"/>
          <w:szCs w:val="32"/>
        </w:rPr>
        <w:t>“过紧日子”</w:t>
      </w:r>
      <w:r>
        <w:rPr>
          <w:rFonts w:ascii="仿宋_GB2312" w:eastAsia="仿宋_GB2312" w:hAnsi="仿宋_GB2312" w:cs="仿宋_GB2312" w:hint="eastAsia"/>
          <w:color w:val="auto"/>
          <w:sz w:val="32"/>
          <w:szCs w:val="32"/>
        </w:rPr>
        <w:t>的思想，厉行勤俭节约，调整优化支出结构，压缩一般性支出，强化民生托底；深化财税体制改革，着力建设现代财政制度；加强财政风险管理，有效防范各项风险，促进全市经济高质量发展。着重做好以下几方面的工作：</w:t>
      </w:r>
    </w:p>
    <w:p w:rsidR="0046003D" w:rsidRDefault="00C32F98" w:rsidP="0076022E">
      <w:pPr>
        <w:widowControl/>
        <w:spacing w:line="600" w:lineRule="exact"/>
        <w:ind w:firstLineChars="200" w:firstLine="640"/>
      </w:pPr>
      <w:r>
        <w:rPr>
          <w:rFonts w:ascii="楷体_GB2312" w:eastAsia="楷体_GB2312" w:hAnsi="楷体_GB2312" w:cs="楷体_GB2312" w:hint="eastAsia"/>
          <w:b/>
          <w:bCs/>
          <w:kern w:val="0"/>
        </w:rPr>
        <w:t>（一）挖潜增收，全力拓宽“聚财之道”</w:t>
      </w:r>
      <w:r>
        <w:rPr>
          <w:rFonts w:ascii="楷体_GB2312" w:eastAsia="楷体_GB2312" w:hAnsi="楷体_GB2312" w:cs="楷体_GB2312"/>
          <w:b/>
          <w:bCs/>
          <w:kern w:val="0"/>
        </w:rPr>
        <w:t>。</w:t>
      </w:r>
      <w:r>
        <w:rPr>
          <w:rFonts w:ascii="仿宋_GB2312" w:eastAsia="仿宋_GB2312" w:hAnsi="宋体" w:cs="方正楷体_GBK" w:hint="eastAsia"/>
          <w:kern w:val="0"/>
        </w:rPr>
        <w:t>积极培植财源，增强财政增收可持续能力。坚定不移深入实施工业强市战略，加快推进新型工业化，推动科技创新与产业创新深度融合，全力构建体现共青特色和优势的现代化产业体系。在税收征管上下功夫。</w:t>
      </w:r>
      <w:r>
        <w:rPr>
          <w:rFonts w:ascii="仿宋_GB2312" w:eastAsia="仿宋_GB2312" w:hAnsi="宋体" w:cs="方正楷体_GBK"/>
          <w:kern w:val="0"/>
        </w:rPr>
        <w:t>充分发挥工作主动性、积极性，提前谋划全年收入组织工作，充分发挥财税联合会商机制的积极作用，科学研判，精准施策，强化收入定期监测调度，强化产业主管部门、税费征管部门联动，做到应收尽收，努力完成全年收入预期目标。</w:t>
      </w:r>
      <w:r>
        <w:rPr>
          <w:rFonts w:ascii="仿宋_GB2312" w:eastAsia="仿宋_GB2312" w:hAnsi="仿宋_GB2312" w:cs="仿宋_GB2312"/>
          <w:kern w:val="0"/>
        </w:rPr>
        <w:t>在跑项争资上下功夫。加大对政策的研判，抓牢政策机遇，主动与相关部门对接，积极向上沟通汇报，争取支持，力争更多的项目资金投入我市</w:t>
      </w:r>
      <w:r>
        <w:rPr>
          <w:rFonts w:ascii="仿宋_GB2312" w:eastAsia="仿宋_GB2312" w:hAnsi="仿宋_GB2312" w:cs="仿宋_GB2312" w:hint="eastAsia"/>
          <w:kern w:val="0"/>
        </w:rPr>
        <w:t>。</w:t>
      </w:r>
    </w:p>
    <w:p w:rsidR="0046003D" w:rsidRDefault="00C32F98" w:rsidP="0076022E">
      <w:pPr>
        <w:widowControl/>
        <w:spacing w:line="600" w:lineRule="exact"/>
        <w:ind w:firstLineChars="200" w:firstLine="640"/>
        <w:rPr>
          <w:rFonts w:ascii="仿宋_GB2312" w:eastAsia="仿宋_GB2312" w:hAnsi="仿宋_GB2312" w:cs="仿宋_GB2312"/>
        </w:rPr>
      </w:pPr>
      <w:r>
        <w:rPr>
          <w:rFonts w:ascii="楷体_GB2312" w:eastAsia="楷体_GB2312" w:hAnsi="楷体_GB2312" w:cs="楷体_GB2312" w:hint="eastAsia"/>
          <w:b/>
          <w:bCs/>
          <w:kern w:val="0"/>
        </w:rPr>
        <w:t>（二）节支保重，全心答好民生答卷。</w:t>
      </w:r>
      <w:r>
        <w:rPr>
          <w:rFonts w:ascii="仿宋_GB2312" w:eastAsia="仿宋_GB2312" w:hAnsi="仿宋_GB2312" w:cs="仿宋_GB2312" w:hint="eastAsia"/>
        </w:rPr>
        <w:t>牢固树立以人民为中心的发展思想，不断优化支出结构，加</w:t>
      </w:r>
      <w:r w:rsidR="00C438A3">
        <w:rPr>
          <w:rFonts w:ascii="仿宋_GB2312" w:eastAsia="仿宋_GB2312" w:hAnsi="仿宋_GB2312" w:cs="仿宋_GB2312" w:hint="eastAsia"/>
        </w:rPr>
        <w:t>大民生领域投入。坚持足额安排“三保”预算，不留硬缺口。坚决落实</w:t>
      </w:r>
      <w:r>
        <w:rPr>
          <w:rFonts w:ascii="仿宋_GB2312" w:eastAsia="仿宋_GB2312" w:hAnsi="仿宋_GB2312" w:cs="仿宋_GB2312" w:hint="eastAsia"/>
        </w:rPr>
        <w:t>党政机关</w:t>
      </w:r>
      <w:r w:rsidR="00C438A3">
        <w:rPr>
          <w:rFonts w:ascii="仿宋_GB2312" w:eastAsia="仿宋_GB2312" w:hAnsi="仿宋_GB2312" w:cs="仿宋_GB2312" w:hint="eastAsia"/>
          <w:bCs/>
        </w:rPr>
        <w:t>“过紧日子”</w:t>
      </w:r>
      <w:r>
        <w:rPr>
          <w:rFonts w:ascii="仿宋_GB2312" w:eastAsia="仿宋_GB2312" w:hAnsi="仿宋_GB2312" w:cs="仿宋_GB2312" w:hint="eastAsia"/>
        </w:rPr>
        <w:t>有关要求，严控一般性支出，继续压减非刚</w:t>
      </w:r>
      <w:r>
        <w:rPr>
          <w:rFonts w:ascii="仿宋_GB2312" w:eastAsia="仿宋_GB2312" w:hAnsi="仿宋_GB2312" w:cs="仿宋_GB2312" w:hint="eastAsia"/>
        </w:rPr>
        <w:lastRenderedPageBreak/>
        <w:t>性非必需支出，将节省资金更多用于保障民生实事落实，安排360万元用于人大为选民办实事项目。积极实施就业优先政策、完善医疗卫生保障制度、健全社会保障体系、办人民满意教育、加强文化建设、推动生态文明建设等。强化专项债券资金使用管理，切实用好超长期</w:t>
      </w:r>
      <w:r w:rsidR="00C438A3">
        <w:rPr>
          <w:rFonts w:ascii="仿宋_GB2312" w:eastAsia="仿宋_GB2312" w:hAnsi="仿宋_GB2312" w:cs="仿宋_GB2312" w:hint="eastAsia"/>
        </w:rPr>
        <w:t>特别国债资金，提高资金使用效益</w:t>
      </w:r>
      <w:r>
        <w:rPr>
          <w:rFonts w:ascii="仿宋_GB2312" w:eastAsia="仿宋_GB2312" w:hAnsi="仿宋_GB2312" w:cs="仿宋_GB2312" w:hint="eastAsia"/>
        </w:rPr>
        <w:t>。</w:t>
      </w:r>
    </w:p>
    <w:p w:rsidR="0046003D" w:rsidRDefault="00C32F98" w:rsidP="0076022E">
      <w:pPr>
        <w:widowControl/>
        <w:spacing w:line="600" w:lineRule="exact"/>
        <w:ind w:firstLineChars="200" w:firstLine="640"/>
        <w:rPr>
          <w:rFonts w:ascii="仿宋_GB2312" w:eastAsia="仿宋_GB2312" w:hAnsi="宋体"/>
        </w:rPr>
      </w:pPr>
      <w:r>
        <w:rPr>
          <w:rFonts w:ascii="楷体_GB2312" w:eastAsia="楷体_GB2312" w:hAnsi="楷体_GB2312" w:cs="楷体_GB2312" w:hint="eastAsia"/>
          <w:b/>
          <w:bCs/>
          <w:kern w:val="0"/>
        </w:rPr>
        <w:t>（三）提质增效，全域深化财政改革。</w:t>
      </w:r>
      <w:r>
        <w:rPr>
          <w:rFonts w:ascii="仿宋_GB2312" w:eastAsia="仿宋_GB2312" w:hAnsi="仿宋_GB2312" w:cs="仿宋_GB2312"/>
          <w:kern w:val="0"/>
        </w:rPr>
        <w:t>深化预算绩效管理。</w:t>
      </w:r>
      <w:r>
        <w:rPr>
          <w:rFonts w:ascii="仿宋_GB2312" w:eastAsia="仿宋_GB2312" w:hAnsi="宋体" w:hint="eastAsia"/>
        </w:rPr>
        <w:t>建立健全事前、事中、事后的全过程绩效评价机制，逐步扩大重点部门与重点资金绩效覆盖面，推动绩效评价与财会监督系统联动，并强化结果运用，对低效、无效资金予以压减或取消。</w:t>
      </w:r>
      <w:r>
        <w:rPr>
          <w:rFonts w:ascii="仿宋_GB2312" w:eastAsia="仿宋_GB2312" w:hAnsi="仿宋_GB2312" w:cs="仿宋_GB2312"/>
          <w:kern w:val="0"/>
        </w:rPr>
        <w:t>强化绩效评价提升质效，进一步规范评价办法，完善绩效评价标准和方法，并强化结果运用，切实做到“花钱必问效、无效必问责”</w:t>
      </w:r>
      <w:r w:rsidR="00C438A3">
        <w:rPr>
          <w:rFonts w:ascii="仿宋_GB2312" w:eastAsia="仿宋_GB2312" w:hAnsi="仿宋_GB2312" w:cs="仿宋_GB2312" w:hint="eastAsia"/>
          <w:kern w:val="0"/>
        </w:rPr>
        <w:t>。</w:t>
      </w:r>
      <w:r>
        <w:rPr>
          <w:rFonts w:ascii="仿宋_GB2312" w:eastAsia="仿宋_GB2312" w:hAnsi="宋体" w:hint="eastAsia"/>
        </w:rPr>
        <w:t>深化乡镇财政资金管理。持续推进乡镇财政资金管理试点和办公费、环境整治费、广告宣传费、餐费、招商引资费五项费用限额管理，提升乡镇财政资金管理水平。</w:t>
      </w:r>
      <w:r>
        <w:rPr>
          <w:rFonts w:ascii="仿宋_GB2312" w:eastAsia="仿宋_GB2312" w:hAnsi="仿宋_GB2312" w:cs="仿宋_GB2312"/>
          <w:kern w:val="0"/>
        </w:rPr>
        <w:t>完善行政事业资产管理。进一步完善管理体制，严格落</w:t>
      </w:r>
      <w:r>
        <w:rPr>
          <w:rFonts w:ascii="仿宋_GB2312" w:eastAsia="仿宋_GB2312" w:hAnsi="仿宋_GB2312" w:cs="仿宋_GB2312" w:hint="eastAsia"/>
          <w:kern w:val="0"/>
        </w:rPr>
        <w:t>实</w:t>
      </w:r>
      <w:r>
        <w:rPr>
          <w:rFonts w:ascii="仿宋_GB2312" w:eastAsia="仿宋_GB2312" w:hAnsi="仿宋_GB2312" w:cs="仿宋_GB2312"/>
          <w:kern w:val="0"/>
        </w:rPr>
        <w:t>行政事业单位办公设备配置标准，积极盘活国有资产资源，提高闲置资产的使用效益，实现对行政事业资产有效监管。</w:t>
      </w:r>
    </w:p>
    <w:p w:rsidR="0046003D" w:rsidRDefault="00C32F98" w:rsidP="0076022E">
      <w:pPr>
        <w:widowControl/>
        <w:spacing w:line="600" w:lineRule="exact"/>
        <w:ind w:firstLineChars="200" w:firstLine="640"/>
        <w:rPr>
          <w:rFonts w:ascii="仿宋_GB2312" w:eastAsia="仿宋_GB2312" w:hAnsi="仿宋_GB2312" w:cs="仿宋_GB2312"/>
        </w:rPr>
      </w:pPr>
      <w:r>
        <w:rPr>
          <w:rFonts w:ascii="楷体_GB2312" w:eastAsia="楷体_GB2312" w:hAnsi="楷体_GB2312" w:cs="楷体_GB2312" w:hint="eastAsia"/>
          <w:b/>
          <w:bCs/>
          <w:kern w:val="0"/>
        </w:rPr>
        <w:t>（四）防患化险，全线筑牢“安全屏障”。</w:t>
      </w:r>
      <w:r>
        <w:rPr>
          <w:rFonts w:ascii="仿宋_GB2312" w:eastAsia="仿宋_GB2312" w:hAnsi="仿宋_GB2312" w:cs="仿宋_GB2312"/>
        </w:rPr>
        <w:t>不断完善地方政府债务管理制度，建立政府性债务管理和应急处置工作协调机制，强化风险评估预警结果运用，有序推进全市政府债务风险防范化解工作。持续落实专项债券“通报预警、督</w:t>
      </w:r>
      <w:r>
        <w:rPr>
          <w:rFonts w:ascii="仿宋_GB2312" w:eastAsia="仿宋_GB2312" w:hAnsi="仿宋_GB2312" w:cs="仿宋_GB2312"/>
        </w:rPr>
        <w:lastRenderedPageBreak/>
        <w:t>导约谈、惩戒约束”工作机制，督促各部门加快项目实施进度，依法依规拨付资金。加强财政运行日常分析跟踪，对“三保”预算安排和执行情况开展监测和动态预警，及时发现问题、堵塞漏洞，确保财政运行安全。</w:t>
      </w:r>
    </w:p>
    <w:p w:rsidR="0046003D" w:rsidRDefault="00C32F98">
      <w:pPr>
        <w:widowControl/>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各位代表！做好2025年财政工作重任在肩，我们将更加紧密地团结在以习近平同志为核心的党中央周围，坚持以习近平新时代中国特色社会主义思想为指导，在市委、市政府的坚强领导和市人大、市政协的监督指导下，</w:t>
      </w:r>
      <w:r>
        <w:rPr>
          <w:rFonts w:ascii="仿宋_GB2312" w:eastAsia="仿宋_GB2312" w:hint="eastAsia"/>
        </w:rPr>
        <w:t>认真贯彻执行本次大会作出的决议，不断提高预算管理水平，弘扬共青精神，</w:t>
      </w:r>
      <w:r>
        <w:rPr>
          <w:rFonts w:ascii="仿宋_GB2312" w:eastAsia="仿宋_GB2312" w:hAnsi="仿宋_GB2312" w:cs="仿宋_GB2312" w:hint="eastAsia"/>
        </w:rPr>
        <w:t>思想再解放、改革再出发</w:t>
      </w:r>
      <w:r>
        <w:rPr>
          <w:rFonts w:ascii="仿宋_GB2312" w:eastAsia="仿宋_GB2312" w:hAnsi="仿宋_GB2312" w:cs="仿宋_GB2312" w:hint="eastAsia"/>
          <w:shd w:val="clear" w:color="auto" w:fill="FFFFFF"/>
        </w:rPr>
        <w:t>，</w:t>
      </w:r>
      <w:r>
        <w:rPr>
          <w:rFonts w:ascii="仿宋_GB2312" w:eastAsia="仿宋_GB2312" w:hAnsi="仿宋_GB2312" w:cs="仿宋_GB2312" w:hint="eastAsia"/>
          <w:kern w:val="0"/>
        </w:rPr>
        <w:t>不断把新时代垦荒创业推向前进，为奋力谱写中国式现</w:t>
      </w:r>
      <w:bookmarkStart w:id="6" w:name="_GoBack"/>
      <w:bookmarkEnd w:id="6"/>
      <w:r>
        <w:rPr>
          <w:rFonts w:ascii="仿宋_GB2312" w:eastAsia="仿宋_GB2312" w:hAnsi="仿宋_GB2312" w:cs="仿宋_GB2312" w:hint="eastAsia"/>
          <w:kern w:val="0"/>
        </w:rPr>
        <w:t xml:space="preserve">代化共青城篇章而不懈奋斗！ </w:t>
      </w: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rsidP="0076022E">
      <w:pPr>
        <w:pStyle w:val="2"/>
        <w:ind w:left="640" w:firstLine="640"/>
        <w:rPr>
          <w:rFonts w:ascii="仿宋_GB2312" w:hAnsi="仿宋_GB2312" w:cs="仿宋_GB2312"/>
          <w:color w:val="000000" w:themeColor="text1"/>
        </w:rPr>
      </w:pPr>
    </w:p>
    <w:p w:rsidR="0046003D" w:rsidRDefault="0046003D">
      <w:pPr>
        <w:pStyle w:val="2"/>
        <w:ind w:leftChars="0" w:left="0" w:firstLineChars="0" w:firstLine="0"/>
        <w:rPr>
          <w:rFonts w:ascii="仿宋_GB2312" w:hAnsi="仿宋_GB2312" w:cs="仿宋_GB2312"/>
          <w:color w:val="000000" w:themeColor="text1"/>
        </w:rPr>
      </w:pPr>
    </w:p>
    <w:tbl>
      <w:tblPr>
        <w:tblpPr w:leftFromText="180" w:rightFromText="180" w:vertAnchor="text" w:horzAnchor="page" w:tblpX="1802" w:tblpY="86"/>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6003D">
        <w:tc>
          <w:tcPr>
            <w:tcW w:w="8522" w:type="dxa"/>
            <w:tcBorders>
              <w:left w:val="nil"/>
              <w:right w:val="nil"/>
            </w:tcBorders>
          </w:tcPr>
          <w:p w:rsidR="0046003D" w:rsidRDefault="00C32F98">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市三届人大五次会议秘书处</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30"/>
                <w:szCs w:val="30"/>
              </w:rPr>
              <w:t>2025年1月21日印发</w:t>
            </w:r>
          </w:p>
        </w:tc>
      </w:tr>
    </w:tbl>
    <w:p w:rsidR="0046003D" w:rsidRDefault="00C32F98">
      <w:pPr>
        <w:spacing w:line="600" w:lineRule="exact"/>
        <w:jc w:val="right"/>
      </w:pPr>
      <w:r>
        <w:rPr>
          <w:rFonts w:ascii="仿宋_GB2312"/>
        </w:rPr>
        <w:lastRenderedPageBreak/>
        <w:t xml:space="preserve">      </w:t>
      </w:r>
      <w:r>
        <w:rPr>
          <w:rFonts w:ascii="仿宋_GB2312" w:hint="eastAsia"/>
        </w:rPr>
        <w:t xml:space="preserve">       </w:t>
      </w:r>
      <w:r>
        <w:rPr>
          <w:rFonts w:ascii="仿宋_GB2312"/>
        </w:rPr>
        <w:t xml:space="preserve">       </w:t>
      </w:r>
      <w:r>
        <w:rPr>
          <w:rFonts w:ascii="仿宋_GB2312" w:eastAsia="仿宋_GB2312" w:hAnsi="仿宋_GB2312" w:cs="仿宋_GB2312" w:hint="eastAsia"/>
          <w:sz w:val="30"/>
          <w:szCs w:val="30"/>
        </w:rPr>
        <w:t>（共印370份）</w:t>
      </w:r>
    </w:p>
    <w:sectPr w:rsidR="0046003D" w:rsidSect="0046003D">
      <w:headerReference w:type="default"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2E" w:rsidRDefault="00EE7A2E" w:rsidP="0046003D">
      <w:r>
        <w:separator/>
      </w:r>
    </w:p>
  </w:endnote>
  <w:endnote w:type="continuationSeparator" w:id="0">
    <w:p w:rsidR="00EE7A2E" w:rsidRDefault="00EE7A2E" w:rsidP="00460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3D" w:rsidRDefault="00CF3D49">
    <w:pPr>
      <w:pStyle w:val="a4"/>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filled="f" stroked="f" strokeweight=".5pt">
          <v:textbox style="mso-fit-shape-to-text:t" inset="0,0,0,0">
            <w:txbxContent>
              <w:p w:rsidR="0046003D" w:rsidRDefault="00CF3D49">
                <w:pPr>
                  <w:pStyle w:val="a4"/>
                  <w:rPr>
                    <w:rStyle w:val="a9"/>
                    <w:rFonts w:ascii="仿宋_GB2312" w:cs="仿宋_GB2312"/>
                    <w:sz w:val="28"/>
                    <w:szCs w:val="28"/>
                  </w:rPr>
                </w:pPr>
                <w:r>
                  <w:rPr>
                    <w:rStyle w:val="a9"/>
                    <w:rFonts w:ascii="仿宋_GB2312" w:cs="仿宋_GB2312"/>
                    <w:sz w:val="28"/>
                    <w:szCs w:val="28"/>
                  </w:rPr>
                  <w:fldChar w:fldCharType="begin"/>
                </w:r>
                <w:r w:rsidR="00C32F98">
                  <w:rPr>
                    <w:rStyle w:val="a9"/>
                    <w:rFonts w:ascii="仿宋_GB2312" w:cs="仿宋_GB2312"/>
                    <w:sz w:val="28"/>
                    <w:szCs w:val="28"/>
                  </w:rPr>
                  <w:instrText xml:space="preserve"> PAGE  \* MERGEFORMAT </w:instrText>
                </w:r>
                <w:r>
                  <w:rPr>
                    <w:rStyle w:val="a9"/>
                    <w:rFonts w:ascii="仿宋_GB2312" w:cs="仿宋_GB2312"/>
                    <w:sz w:val="28"/>
                    <w:szCs w:val="28"/>
                  </w:rPr>
                  <w:fldChar w:fldCharType="separate"/>
                </w:r>
                <w:r w:rsidR="00BD4BCD">
                  <w:rPr>
                    <w:rStyle w:val="a9"/>
                    <w:rFonts w:ascii="仿宋_GB2312" w:cs="仿宋_GB2312"/>
                    <w:noProof/>
                    <w:sz w:val="28"/>
                    <w:szCs w:val="28"/>
                  </w:rPr>
                  <w:t>- 15 -</w:t>
                </w:r>
                <w:r>
                  <w:rPr>
                    <w:rStyle w:val="a9"/>
                    <w:rFonts w:ascii="仿宋_GB2312" w:cs="仿宋_GB2312"/>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2E" w:rsidRDefault="00EE7A2E" w:rsidP="0046003D">
      <w:r>
        <w:separator/>
      </w:r>
    </w:p>
  </w:footnote>
  <w:footnote w:type="continuationSeparator" w:id="0">
    <w:p w:rsidR="00EE7A2E" w:rsidRDefault="00EE7A2E" w:rsidP="00460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3D" w:rsidRDefault="0046003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M1MWNkNmI2YzYxZTkzNGQ3NWQ3NTMwMjY3ZGIzMTEifQ=="/>
    <w:docVar w:name="KSO_WPS_MARK_KEY" w:val="7dda3beb-834d-4fe8-af90-9ebc7fdce77d"/>
  </w:docVars>
  <w:rsids>
    <w:rsidRoot w:val="43FA6FCA"/>
    <w:rsid w:val="CF4CA669"/>
    <w:rsid w:val="DBDBE2F5"/>
    <w:rsid w:val="EBE4371C"/>
    <w:rsid w:val="00046CA0"/>
    <w:rsid w:val="0046003D"/>
    <w:rsid w:val="005A16F7"/>
    <w:rsid w:val="005B0453"/>
    <w:rsid w:val="00646BEC"/>
    <w:rsid w:val="0076022E"/>
    <w:rsid w:val="008B0D4D"/>
    <w:rsid w:val="00A23F3E"/>
    <w:rsid w:val="00A7439A"/>
    <w:rsid w:val="00BD4BCD"/>
    <w:rsid w:val="00C32F98"/>
    <w:rsid w:val="00C438A3"/>
    <w:rsid w:val="00C50630"/>
    <w:rsid w:val="00C975B9"/>
    <w:rsid w:val="00CF3D49"/>
    <w:rsid w:val="00EE7A2E"/>
    <w:rsid w:val="00F82B09"/>
    <w:rsid w:val="00F9201A"/>
    <w:rsid w:val="015C6703"/>
    <w:rsid w:val="037A0487"/>
    <w:rsid w:val="053C0C8A"/>
    <w:rsid w:val="0A960E3D"/>
    <w:rsid w:val="0C087B18"/>
    <w:rsid w:val="0C2779B2"/>
    <w:rsid w:val="0CC1463D"/>
    <w:rsid w:val="0DD020CE"/>
    <w:rsid w:val="0E4B0190"/>
    <w:rsid w:val="0E652B9B"/>
    <w:rsid w:val="0F9A5B51"/>
    <w:rsid w:val="0FC47F75"/>
    <w:rsid w:val="14D71FD1"/>
    <w:rsid w:val="155956AB"/>
    <w:rsid w:val="18EE0096"/>
    <w:rsid w:val="1A1D1572"/>
    <w:rsid w:val="1A8707A2"/>
    <w:rsid w:val="1B824EC2"/>
    <w:rsid w:val="1C3D09FE"/>
    <w:rsid w:val="1E7F010E"/>
    <w:rsid w:val="1F2760B0"/>
    <w:rsid w:val="1F334A54"/>
    <w:rsid w:val="203D6D40"/>
    <w:rsid w:val="207277FE"/>
    <w:rsid w:val="2194621C"/>
    <w:rsid w:val="226137E9"/>
    <w:rsid w:val="22965A26"/>
    <w:rsid w:val="24346A11"/>
    <w:rsid w:val="251F28D0"/>
    <w:rsid w:val="2A7523C5"/>
    <w:rsid w:val="2EB57234"/>
    <w:rsid w:val="2F56174C"/>
    <w:rsid w:val="2FD656B4"/>
    <w:rsid w:val="31726692"/>
    <w:rsid w:val="32110C25"/>
    <w:rsid w:val="32BF1216"/>
    <w:rsid w:val="331D29B2"/>
    <w:rsid w:val="33DA0991"/>
    <w:rsid w:val="342C7F98"/>
    <w:rsid w:val="34833930"/>
    <w:rsid w:val="35FE7713"/>
    <w:rsid w:val="3D6267D9"/>
    <w:rsid w:val="3EF718CB"/>
    <w:rsid w:val="3F1C049F"/>
    <w:rsid w:val="3FE931E1"/>
    <w:rsid w:val="424401D1"/>
    <w:rsid w:val="424E557E"/>
    <w:rsid w:val="43FA6FCA"/>
    <w:rsid w:val="443469F5"/>
    <w:rsid w:val="44617E7C"/>
    <w:rsid w:val="472540EC"/>
    <w:rsid w:val="47FB9F15"/>
    <w:rsid w:val="4A07322B"/>
    <w:rsid w:val="4BE17463"/>
    <w:rsid w:val="4CC50B32"/>
    <w:rsid w:val="4DA644C0"/>
    <w:rsid w:val="4E21374B"/>
    <w:rsid w:val="4FE01B24"/>
    <w:rsid w:val="4FFA4520"/>
    <w:rsid w:val="50A62A29"/>
    <w:rsid w:val="51D6733E"/>
    <w:rsid w:val="523D5A2A"/>
    <w:rsid w:val="534F1156"/>
    <w:rsid w:val="5460071C"/>
    <w:rsid w:val="565A053D"/>
    <w:rsid w:val="57F31661"/>
    <w:rsid w:val="58A27F7A"/>
    <w:rsid w:val="58FB7B43"/>
    <w:rsid w:val="59EA78A5"/>
    <w:rsid w:val="59FE45DA"/>
    <w:rsid w:val="5B667480"/>
    <w:rsid w:val="5BA069F2"/>
    <w:rsid w:val="5BDE576D"/>
    <w:rsid w:val="5C0056E3"/>
    <w:rsid w:val="5CA07E92"/>
    <w:rsid w:val="5EFED63B"/>
    <w:rsid w:val="5FA840C8"/>
    <w:rsid w:val="5FC9520A"/>
    <w:rsid w:val="60AE2E25"/>
    <w:rsid w:val="623F6839"/>
    <w:rsid w:val="65CC4888"/>
    <w:rsid w:val="6750711A"/>
    <w:rsid w:val="67BC35B4"/>
    <w:rsid w:val="690544B7"/>
    <w:rsid w:val="696D1EDE"/>
    <w:rsid w:val="6BA0382F"/>
    <w:rsid w:val="6BAD2A66"/>
    <w:rsid w:val="6D3A3DD5"/>
    <w:rsid w:val="6D4E5082"/>
    <w:rsid w:val="6F525DFE"/>
    <w:rsid w:val="70C76378"/>
    <w:rsid w:val="71352A9F"/>
    <w:rsid w:val="716360A0"/>
    <w:rsid w:val="71CB1E97"/>
    <w:rsid w:val="738F5942"/>
    <w:rsid w:val="73FFB7F3"/>
    <w:rsid w:val="751A116C"/>
    <w:rsid w:val="75976D3E"/>
    <w:rsid w:val="759F0683"/>
    <w:rsid w:val="76A1002A"/>
    <w:rsid w:val="773B6A66"/>
    <w:rsid w:val="77FFFC33"/>
    <w:rsid w:val="7A8157E9"/>
    <w:rsid w:val="7CCB71F0"/>
    <w:rsid w:val="7CDE6F23"/>
    <w:rsid w:val="7CF404F4"/>
    <w:rsid w:val="7FC4254E"/>
    <w:rsid w:val="7FFE5F69"/>
    <w:rsid w:val="7FFF7AE5"/>
    <w:rsid w:val="9FEE98B5"/>
    <w:rsid w:val="9FFF21D4"/>
    <w:rsid w:val="B77F75BE"/>
    <w:rsid w:val="B87670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Subtitle" w:qFormat="1"/>
    <w:lsdException w:name="Body Text First Indent"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6003D"/>
    <w:pPr>
      <w:widowControl w:val="0"/>
      <w:jc w:val="both"/>
    </w:pPr>
    <w:rPr>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46003D"/>
    <w:rPr>
      <w:szCs w:val="24"/>
    </w:rPr>
  </w:style>
  <w:style w:type="paragraph" w:styleId="2">
    <w:name w:val="Body Text Indent 2"/>
    <w:basedOn w:val="a"/>
    <w:uiPriority w:val="99"/>
    <w:qFormat/>
    <w:rsid w:val="0046003D"/>
    <w:pPr>
      <w:spacing w:after="120" w:line="480" w:lineRule="auto"/>
      <w:ind w:leftChars="200" w:left="420" w:firstLineChars="200" w:firstLine="200"/>
    </w:pPr>
    <w:rPr>
      <w:rFonts w:eastAsia="仿宋_GB2312"/>
    </w:rPr>
  </w:style>
  <w:style w:type="paragraph" w:styleId="a4">
    <w:name w:val="footer"/>
    <w:basedOn w:val="a"/>
    <w:uiPriority w:val="99"/>
    <w:qFormat/>
    <w:rsid w:val="0046003D"/>
    <w:pPr>
      <w:tabs>
        <w:tab w:val="center" w:pos="4153"/>
        <w:tab w:val="right" w:pos="8306"/>
      </w:tabs>
      <w:jc w:val="left"/>
    </w:pPr>
    <w:rPr>
      <w:sz w:val="18"/>
      <w:szCs w:val="18"/>
    </w:rPr>
  </w:style>
  <w:style w:type="paragraph" w:styleId="a5">
    <w:name w:val="header"/>
    <w:basedOn w:val="a"/>
    <w:uiPriority w:val="99"/>
    <w:qFormat/>
    <w:rsid w:val="0046003D"/>
    <w:pPr>
      <w:pBdr>
        <w:bottom w:val="single" w:sz="6" w:space="1" w:color="auto"/>
      </w:pBdr>
      <w:tabs>
        <w:tab w:val="center" w:pos="4153"/>
        <w:tab w:val="right" w:pos="8306"/>
      </w:tabs>
      <w:jc w:val="center"/>
    </w:pPr>
    <w:rPr>
      <w:sz w:val="18"/>
      <w:szCs w:val="18"/>
    </w:rPr>
  </w:style>
  <w:style w:type="paragraph" w:styleId="a6">
    <w:name w:val="Normal (Web)"/>
    <w:basedOn w:val="a"/>
    <w:uiPriority w:val="99"/>
    <w:qFormat/>
    <w:rsid w:val="0046003D"/>
    <w:pPr>
      <w:spacing w:before="100" w:beforeAutospacing="1" w:after="100" w:afterAutospacing="1"/>
      <w:jc w:val="left"/>
    </w:pPr>
    <w:rPr>
      <w:kern w:val="0"/>
      <w:sz w:val="24"/>
    </w:rPr>
  </w:style>
  <w:style w:type="paragraph" w:styleId="a7">
    <w:name w:val="Body Text First Indent"/>
    <w:basedOn w:val="a0"/>
    <w:qFormat/>
    <w:rsid w:val="0046003D"/>
    <w:pPr>
      <w:ind w:firstLineChars="100" w:firstLine="420"/>
    </w:pPr>
  </w:style>
  <w:style w:type="character" w:styleId="a8">
    <w:name w:val="Strong"/>
    <w:basedOn w:val="a1"/>
    <w:qFormat/>
    <w:rsid w:val="0046003D"/>
    <w:rPr>
      <w:b/>
    </w:rPr>
  </w:style>
  <w:style w:type="character" w:styleId="a9">
    <w:name w:val="page number"/>
    <w:basedOn w:val="a1"/>
    <w:uiPriority w:val="99"/>
    <w:qFormat/>
    <w:rsid w:val="0046003D"/>
    <w:rPr>
      <w:rFonts w:cs="Times New Roman"/>
    </w:rPr>
  </w:style>
  <w:style w:type="paragraph" w:customStyle="1" w:styleId="Default">
    <w:name w:val="Default"/>
    <w:qFormat/>
    <w:rsid w:val="0046003D"/>
    <w:pPr>
      <w:widowControl w:val="0"/>
      <w:autoSpaceDE w:val="0"/>
      <w:autoSpaceDN w:val="0"/>
      <w:adjustRightInd w:val="0"/>
    </w:pPr>
    <w:rPr>
      <w:rFonts w:ascii="方正楷体_GBK" w:eastAsia="方正楷体_GBK" w:hAnsi="Calibri" w:cs="方正楷体_GBK"/>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7BB98-08D7-4397-A6E4-65CA79EF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2025-01-18T03:20:00Z</cp:lastPrinted>
  <dcterms:created xsi:type="dcterms:W3CDTF">2015-12-31T19:43:00Z</dcterms:created>
  <dcterms:modified xsi:type="dcterms:W3CDTF">2015-12-31T19:44:00Z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B3D977AB12D54D50B4BD06AC72A8BCCF_13</vt:lpwstr>
  </property>
  <property fmtid="{D5CDD505-2E9C-101B-9397-08002B2CF9AE}" pid="4" name="KSOTemplateDocerSaveRecord">
    <vt:lpwstr>eyJoZGlkIjoiNWFmMWVkMmU2NGFjZDY5MWY4MzdhNjJmZWFmNDM0ZDEifQ==</vt:lpwstr>
  </property>
</Properties>
</file>