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51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市三届人大</w:t>
      </w:r>
      <w:r>
        <w:rPr>
          <w:rFonts w:hint="eastAsia" w:ascii="宋体" w:hAnsi="宋体" w:cs="宋体"/>
          <w:sz w:val="30"/>
          <w:szCs w:val="30"/>
          <w:lang w:eastAsia="zh-CN"/>
        </w:rPr>
        <w:t>六</w:t>
      </w:r>
      <w:r>
        <w:rPr>
          <w:rFonts w:hint="eastAsia" w:ascii="宋体" w:hAnsi="宋体" w:cs="宋体"/>
          <w:sz w:val="30"/>
          <w:szCs w:val="30"/>
        </w:rPr>
        <w:t>次</w:t>
      </w:r>
    </w:p>
    <w:p w14:paraId="582D0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会议文件（2</w:t>
      </w:r>
      <w:r>
        <w:rPr>
          <w:rFonts w:hint="eastAsia" w:ascii="宋体" w:hAnsi="宋体" w:cs="宋体"/>
          <w:sz w:val="30"/>
          <w:szCs w:val="30"/>
          <w:lang w:val="en-US" w:eastAsia="zh-CN"/>
        </w:rPr>
        <w:t>9</w:t>
      </w:r>
      <w:r>
        <w:rPr>
          <w:rFonts w:hint="eastAsia" w:ascii="宋体" w:hAnsi="宋体" w:cs="宋体"/>
          <w:sz w:val="30"/>
          <w:szCs w:val="30"/>
        </w:rPr>
        <w:t xml:space="preserve">）                                </w:t>
      </w:r>
    </w:p>
    <w:p w14:paraId="0C42E60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</w:pPr>
    </w:p>
    <w:p w14:paraId="482CD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关于共青城市202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年财政预算执行情况和</w:t>
      </w:r>
    </w:p>
    <w:p w14:paraId="0373B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contextualSpacing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年财政预算草案的报告（书面）</w:t>
      </w:r>
    </w:p>
    <w:p w14:paraId="549CA57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/>
        <w:textAlignment w:val="auto"/>
      </w:pPr>
    </w:p>
    <w:p w14:paraId="49B73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contextualSpacing/>
        <w:jc w:val="center"/>
        <w:textAlignment w:val="auto"/>
        <w:rPr>
          <w:rFonts w:ascii="楷体_GB2312" w:hAnsi="楷体" w:eastAsia="楷体_GB2312"/>
          <w:spacing w:val="-16"/>
        </w:rPr>
      </w:pPr>
      <w:r>
        <w:rPr>
          <w:rFonts w:hint="eastAsia" w:ascii="楷体_GB2312" w:hAnsi="楷体" w:eastAsia="楷体_GB2312"/>
          <w:spacing w:val="-16"/>
        </w:rPr>
        <w:t>（</w:t>
      </w:r>
      <w:r>
        <w:rPr>
          <w:rFonts w:ascii="楷体_GB2312" w:hAnsi="楷体" w:eastAsia="楷体_GB2312"/>
          <w:spacing w:val="-16"/>
        </w:rPr>
        <w:t>20</w:t>
      </w:r>
      <w:r>
        <w:rPr>
          <w:rFonts w:hint="eastAsia" w:ascii="楷体_GB2312" w:hAnsi="楷体" w:eastAsia="楷体_GB2312"/>
          <w:spacing w:val="-16"/>
        </w:rPr>
        <w:t>2</w:t>
      </w:r>
      <w:r>
        <w:rPr>
          <w:rFonts w:hint="eastAsia" w:ascii="楷体_GB2312" w:hAnsi="楷体" w:eastAsia="楷体_GB2312"/>
          <w:spacing w:val="-16"/>
          <w:lang w:val="en-US" w:eastAsia="zh-CN"/>
        </w:rPr>
        <w:t>6</w:t>
      </w:r>
      <w:r>
        <w:rPr>
          <w:rFonts w:hint="eastAsia" w:ascii="楷体_GB2312" w:hAnsi="楷体" w:eastAsia="楷体_GB2312"/>
          <w:spacing w:val="-16"/>
        </w:rPr>
        <w:t>年</w:t>
      </w:r>
      <w:r>
        <w:rPr>
          <w:rFonts w:hint="eastAsia" w:ascii="楷体_GB2312" w:hAnsi="楷体" w:eastAsia="楷体_GB2312"/>
          <w:spacing w:val="-16"/>
          <w:lang w:val="en-US" w:eastAsia="zh-CN"/>
        </w:rPr>
        <w:t>2</w:t>
      </w:r>
      <w:r>
        <w:rPr>
          <w:rFonts w:hint="eastAsia" w:ascii="楷体_GB2312" w:hAnsi="楷体" w:eastAsia="楷体_GB2312"/>
          <w:spacing w:val="-16"/>
        </w:rPr>
        <w:t>月</w:t>
      </w:r>
      <w:r>
        <w:rPr>
          <w:rFonts w:hint="eastAsia" w:ascii="楷体_GB2312" w:hAnsi="楷体" w:eastAsia="楷体_GB2312"/>
          <w:spacing w:val="-16"/>
          <w:lang w:val="en-US" w:eastAsia="zh-CN"/>
        </w:rPr>
        <w:t>3</w:t>
      </w:r>
      <w:r>
        <w:rPr>
          <w:rFonts w:hint="eastAsia" w:ascii="楷体_GB2312" w:hAnsi="楷体" w:eastAsia="楷体_GB2312"/>
          <w:spacing w:val="-16"/>
        </w:rPr>
        <w:t>日在共青城市第三届人民代表大会第</w:t>
      </w:r>
      <w:r>
        <w:rPr>
          <w:rFonts w:hint="eastAsia" w:ascii="楷体_GB2312" w:hAnsi="楷体" w:eastAsia="楷体_GB2312"/>
          <w:spacing w:val="-16"/>
          <w:lang w:eastAsia="zh-CN"/>
        </w:rPr>
        <w:t>六</w:t>
      </w:r>
      <w:r>
        <w:rPr>
          <w:rFonts w:hint="eastAsia" w:ascii="楷体_GB2312" w:hAnsi="楷体" w:eastAsia="楷体_GB2312"/>
          <w:spacing w:val="-16"/>
        </w:rPr>
        <w:t>次会议上）</w:t>
      </w:r>
    </w:p>
    <w:p w14:paraId="5721A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contextualSpacing/>
        <w:jc w:val="center"/>
        <w:textAlignment w:val="auto"/>
        <w:rPr>
          <w:rFonts w:hint="eastAsia" w:ascii="仿宋_GB2312" w:eastAsia="楷体_GB2312"/>
          <w:lang w:eastAsia="zh-CN"/>
        </w:rPr>
      </w:pPr>
      <w:r>
        <w:rPr>
          <w:rFonts w:hint="eastAsia" w:ascii="楷体_GB2312" w:hAnsi="楷体" w:eastAsia="楷体_GB2312"/>
        </w:rPr>
        <w:t xml:space="preserve">共青城市财政局局长 </w:t>
      </w:r>
      <w:r>
        <w:rPr>
          <w:rFonts w:hint="eastAsia" w:ascii="楷体_GB2312" w:hAnsi="楷体" w:eastAsia="楷体_GB2312"/>
          <w:lang w:val="en-US" w:eastAsia="zh-CN"/>
        </w:rPr>
        <w:t xml:space="preserve"> </w:t>
      </w:r>
      <w:r>
        <w:rPr>
          <w:rFonts w:hint="eastAsia" w:ascii="楷体_GB2312" w:hAnsi="楷体" w:eastAsia="楷体_GB2312"/>
          <w:lang w:eastAsia="zh-CN"/>
        </w:rPr>
        <w:t>王晓沙</w:t>
      </w:r>
    </w:p>
    <w:p w14:paraId="2B795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</w:rPr>
      </w:pPr>
    </w:p>
    <w:p w14:paraId="43BED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各位代表:</w:t>
      </w:r>
    </w:p>
    <w:p w14:paraId="7AA4C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受市人民政府委托，我向大会报告全市202</w:t>
      </w:r>
      <w:r>
        <w:rPr>
          <w:rFonts w:hint="eastAsia" w:ascii="仿宋_GB2312" w:hAnsi="仿宋_GB2312" w:eastAsia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</w:rPr>
        <w:t>年财政预算执行情况和202</w:t>
      </w:r>
      <w:r>
        <w:rPr>
          <w:rFonts w:hint="eastAsia" w:ascii="仿宋_GB2312" w:hAnsi="仿宋_GB2312" w:eastAsia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</w:rPr>
        <w:t>年财政预算草案，请予审议，并请列席会议的同志提出意见。</w:t>
      </w:r>
    </w:p>
    <w:p w14:paraId="1B55E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highlight w:val="none"/>
        </w:rPr>
      </w:pPr>
      <w:r>
        <w:rPr>
          <w:rFonts w:hint="eastAsia" w:ascii="黑体" w:hAnsi="黑体" w:eastAsia="黑体" w:cs="黑体"/>
          <w:color w:val="auto"/>
          <w:highlight w:val="none"/>
        </w:rPr>
        <w:t>一、</w:t>
      </w:r>
      <w:r>
        <w:rPr>
          <w:rFonts w:hint="eastAsia" w:ascii="黑体" w:hAnsi="黑体" w:eastAsia="黑体" w:cs="黑体"/>
          <w:color w:val="auto"/>
          <w:highlight w:val="none"/>
          <w:lang w:eastAsia="zh-CN"/>
        </w:rPr>
        <w:t>202</w:t>
      </w:r>
      <w:r>
        <w:rPr>
          <w:rFonts w:hint="eastAsia" w:ascii="黑体" w:hAnsi="黑体" w:eastAsia="黑体" w:cs="黑体"/>
          <w:color w:val="auto"/>
          <w:highlight w:val="none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highlight w:val="none"/>
        </w:rPr>
        <w:t>年财政预算执行情况</w:t>
      </w:r>
    </w:p>
    <w:p w14:paraId="763011F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2025年是“十四五”规划收官之年，也是共青城垦荒创业70周年。在市委、市政府的坚强领导下，在市人大、市政协的监督支持下，财政部门坚持以习近平新时代中国特色社会主义思想为指导，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全面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贯彻党的二十大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和二十届二中、三中、四中全会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精神，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深入落实习近平总书记考察江西重要讲话精神，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紧紧围绕全市经济社会发展目标，积极应对经济下行压力和财政收支矛盾，强化财政资源统筹，优化财政支出结构，兜牢兜实基层“三保”底线，坚决防范化解财政运行风险，</w:t>
      </w:r>
      <w:r>
        <w:rPr>
          <w:rFonts w:hint="eastAsia" w:ascii="仿宋_GB2312" w:hAnsi="仿宋_GB2312" w:eastAsia="仿宋_GB2312" w:cs="仿宋_GB2312"/>
        </w:rPr>
        <w:t>预算执行情况总体较好，执行情况如下：</w:t>
      </w:r>
    </w:p>
    <w:p w14:paraId="475B4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楷体_GB2312" w:hAnsi="宋体" w:eastAsia="楷体_GB2312"/>
          <w:b/>
          <w:color w:val="auto"/>
          <w:highlight w:val="none"/>
        </w:rPr>
      </w:pPr>
      <w:r>
        <w:rPr>
          <w:rFonts w:hint="eastAsia" w:ascii="楷体_GB2312" w:hAnsi="宋体" w:eastAsia="楷体_GB2312"/>
          <w:b/>
          <w:color w:val="auto"/>
          <w:highlight w:val="none"/>
        </w:rPr>
        <w:t>（一）一般公共预算执行情况</w:t>
      </w:r>
    </w:p>
    <w:p w14:paraId="334DB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highlight w:val="none"/>
        </w:rPr>
        <w:t>1.一般公共预算收入执行情况</w:t>
      </w:r>
    </w:p>
    <w:p w14:paraId="77E70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根据预计完成数（下同），202</w:t>
      </w:r>
      <w:r>
        <w:rPr>
          <w:rFonts w:hint="eastAsia" w:ascii="仿宋_GB2312" w:hAnsi="宋体" w:eastAsia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宋体" w:eastAsia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年，全市财政总收入预计完成68</w:t>
      </w:r>
      <w:r>
        <w:rPr>
          <w:rFonts w:hint="eastAsia" w:ascii="仿宋_GB2312" w:hAnsi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,</w:t>
      </w:r>
      <w:r>
        <w:rPr>
          <w:rFonts w:hint="eastAsia" w:ascii="仿宋_GB2312" w:hAnsi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699</w:t>
      </w:r>
      <w:r>
        <w:rPr>
          <w:rFonts w:hint="eastAsia" w:ascii="仿宋_GB2312" w:hAnsi="宋体" w:eastAsia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万元，同比增长</w:t>
      </w:r>
      <w:r>
        <w:rPr>
          <w:rFonts w:hint="default" w:ascii="仿宋_GB2312" w:hAnsi="宋体" w:eastAsia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仿宋_GB2312" w:hAnsi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87</w:t>
      </w:r>
      <w:r>
        <w:rPr>
          <w:rFonts w:hint="eastAsia" w:ascii="仿宋_GB2312" w:hAnsi="宋体" w:eastAsia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%，税比</w:t>
      </w:r>
      <w:r>
        <w:rPr>
          <w:rFonts w:hint="default" w:ascii="仿宋_GB2312" w:hAnsi="宋体" w:eastAsia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93.0</w:t>
      </w:r>
      <w:r>
        <w:rPr>
          <w:rFonts w:hint="eastAsia" w:ascii="仿宋_GB2312" w:hAnsi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宋体" w:eastAsia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%。</w:t>
      </w:r>
    </w:p>
    <w:p w14:paraId="1DD81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color w:val="auto"/>
          <w:highlight w:val="none"/>
          <w:lang w:eastAsia="zh-CN"/>
        </w:rPr>
      </w:pPr>
      <w:r>
        <w:rPr>
          <w:rFonts w:hint="eastAsia" w:ascii="仿宋_GB2312" w:hAnsi="宋体" w:eastAsia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分收入级次完成情况：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一般公共预算收入完成</w:t>
      </w:r>
      <w:r>
        <w:rPr>
          <w:rFonts w:hint="default" w:ascii="仿宋_GB2312" w:hAnsi="宋体" w:eastAsia="仿宋_GB2312"/>
          <w:color w:val="auto"/>
          <w:highlight w:val="none"/>
          <w:lang w:val="en-US" w:eastAsia="zh-CN"/>
        </w:rPr>
        <w:t>27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3</w:t>
      </w:r>
      <w:r>
        <w:rPr>
          <w:rFonts w:hint="default" w:ascii="仿宋_GB2312" w:hAnsi="宋体" w:eastAsia="仿宋_GB2312"/>
          <w:color w:val="auto"/>
          <w:highlight w:val="none"/>
          <w:lang w:val="en-US" w:eastAsia="zh-CN"/>
        </w:rPr>
        <w:t>,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787</w:t>
      </w:r>
      <w:r>
        <w:rPr>
          <w:rFonts w:hint="default" w:ascii="仿宋_GB2312" w:hAnsi="宋体" w:eastAsia="仿宋_GB2312"/>
          <w:color w:val="auto"/>
          <w:highlight w:val="none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万元，比上年增收</w:t>
      </w:r>
      <w:r>
        <w:rPr>
          <w:rFonts w:hint="default" w:ascii="仿宋_GB2312" w:hAnsi="宋体" w:eastAsia="仿宋_GB2312"/>
          <w:color w:val="auto"/>
          <w:highlight w:val="none"/>
          <w:lang w:val="en-US" w:eastAsia="zh-CN"/>
        </w:rPr>
        <w:t>2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3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,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581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万元，同比增长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9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.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42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%。</w:t>
      </w:r>
    </w:p>
    <w:p w14:paraId="291F9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color w:val="auto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分征收部门完成情况：税务部门完成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63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9</w:t>
      </w:r>
      <w:r>
        <w:rPr>
          <w:rFonts w:hint="default" w:ascii="仿宋_GB2312" w:hAnsi="宋体" w:eastAsia="仿宋_GB2312"/>
          <w:color w:val="auto"/>
          <w:highlight w:val="none"/>
          <w:lang w:val="en-US" w:eastAsia="zh-CN"/>
        </w:rPr>
        <w:t>,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125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万元，比上年增收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51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,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664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万元，同比增长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8.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79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%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；财政部门完成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47,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574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万元，比上年增收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4</w:t>
      </w:r>
      <w:r>
        <w:rPr>
          <w:rFonts w:hint="default" w:ascii="仿宋_GB2312" w:hAnsi="宋体" w:eastAsia="仿宋_GB2312"/>
          <w:color w:val="auto"/>
          <w:highlight w:val="none"/>
          <w:lang w:val="en-US" w:eastAsia="zh-CN"/>
        </w:rPr>
        <w:t>,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305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万元，同比增长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9.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95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%。</w:t>
      </w:r>
    </w:p>
    <w:p w14:paraId="3FA49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仿宋_GB2312" w:hAnsi="宋体" w:eastAsia="仿宋_GB2312"/>
          <w:b/>
          <w:color w:val="auto"/>
          <w:highlight w:val="none"/>
        </w:rPr>
      </w:pPr>
      <w:r>
        <w:rPr>
          <w:rFonts w:hint="eastAsia" w:ascii="仿宋_GB2312" w:hAnsi="宋体" w:eastAsia="仿宋_GB2312"/>
          <w:b/>
          <w:color w:val="auto"/>
          <w:highlight w:val="none"/>
        </w:rPr>
        <w:t>2.一般公共预算支出执行情况</w:t>
      </w:r>
    </w:p>
    <w:p w14:paraId="50E75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宋体" w:eastAsia="仿宋_GB2312"/>
          <w:color w:val="auto"/>
          <w:highlight w:val="none"/>
        </w:rPr>
      </w:pP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202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5</w:t>
      </w:r>
      <w:r>
        <w:rPr>
          <w:rFonts w:hint="eastAsia" w:ascii="仿宋_GB2312" w:hAnsi="宋体" w:eastAsia="仿宋_GB2312"/>
          <w:color w:val="auto"/>
          <w:highlight w:val="none"/>
        </w:rPr>
        <w:t>年一般公共预算支出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4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1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6,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267</w:t>
      </w:r>
      <w:r>
        <w:rPr>
          <w:rFonts w:hint="eastAsia" w:ascii="仿宋_GB2312" w:hAnsi="宋体" w:eastAsia="仿宋_GB2312"/>
          <w:color w:val="auto"/>
          <w:highlight w:val="none"/>
        </w:rPr>
        <w:t>万元，比上年决算数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增加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90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,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635</w:t>
      </w:r>
      <w:r>
        <w:rPr>
          <w:rFonts w:hint="eastAsia" w:ascii="仿宋_GB2312" w:hAnsi="宋体" w:eastAsia="仿宋_GB2312"/>
          <w:color w:val="auto"/>
          <w:highlight w:val="none"/>
        </w:rPr>
        <w:t>万元，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增长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2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7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.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83</w:t>
      </w:r>
      <w:r>
        <w:rPr>
          <w:rFonts w:hint="eastAsia" w:ascii="仿宋_GB2312" w:hAnsi="宋体" w:eastAsia="仿宋_GB2312"/>
          <w:color w:val="auto"/>
          <w:highlight w:val="none"/>
        </w:rPr>
        <w:t>%。主要项目支出情况是：一般公共服务支出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23,317</w:t>
      </w:r>
      <w:r>
        <w:rPr>
          <w:rFonts w:hint="eastAsia" w:ascii="仿宋_GB2312" w:hAnsi="宋体" w:eastAsia="仿宋_GB2312"/>
          <w:color w:val="auto"/>
          <w:highlight w:val="none"/>
        </w:rPr>
        <w:t>万元；国防支出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2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,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995</w:t>
      </w:r>
      <w:r>
        <w:rPr>
          <w:rFonts w:hint="eastAsia" w:ascii="仿宋_GB2312" w:hAnsi="宋体" w:eastAsia="仿宋_GB2312"/>
          <w:color w:val="auto"/>
          <w:highlight w:val="none"/>
        </w:rPr>
        <w:t>万元；公共安全支出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10,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806</w:t>
      </w:r>
      <w:r>
        <w:rPr>
          <w:rFonts w:hint="eastAsia" w:ascii="仿宋_GB2312" w:hAnsi="宋体" w:eastAsia="仿宋_GB2312"/>
          <w:color w:val="auto"/>
          <w:highlight w:val="none"/>
        </w:rPr>
        <w:t>万元；教育支出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73,080</w:t>
      </w:r>
      <w:r>
        <w:rPr>
          <w:rFonts w:hint="eastAsia" w:ascii="仿宋_GB2312" w:hAnsi="宋体" w:eastAsia="仿宋_GB2312"/>
          <w:color w:val="auto"/>
          <w:highlight w:val="none"/>
        </w:rPr>
        <w:t>万元；科学技术支出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20,403</w:t>
      </w:r>
      <w:r>
        <w:rPr>
          <w:rFonts w:hint="eastAsia" w:ascii="仿宋_GB2312" w:hAnsi="宋体" w:eastAsia="仿宋_GB2312"/>
          <w:color w:val="auto"/>
          <w:highlight w:val="none"/>
        </w:rPr>
        <w:t>万元；文化旅游体育与传媒支出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14,939</w:t>
      </w:r>
      <w:r>
        <w:rPr>
          <w:rFonts w:hint="eastAsia" w:ascii="仿宋_GB2312" w:hAnsi="宋体" w:eastAsia="仿宋_GB2312"/>
          <w:color w:val="auto"/>
          <w:highlight w:val="none"/>
        </w:rPr>
        <w:t>万元；社会保障和就业支出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23,225</w:t>
      </w:r>
      <w:r>
        <w:rPr>
          <w:rFonts w:hint="eastAsia" w:ascii="仿宋_GB2312" w:hAnsi="宋体" w:eastAsia="仿宋_GB2312"/>
          <w:color w:val="auto"/>
          <w:highlight w:val="none"/>
        </w:rPr>
        <w:t>万元；卫生健康支出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15,80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0</w:t>
      </w:r>
      <w:r>
        <w:rPr>
          <w:rFonts w:hint="eastAsia" w:ascii="仿宋_GB2312" w:hAnsi="宋体" w:eastAsia="仿宋_GB2312"/>
          <w:color w:val="auto"/>
          <w:highlight w:val="none"/>
        </w:rPr>
        <w:t>万元；节能环保支出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20,170</w:t>
      </w:r>
      <w:r>
        <w:rPr>
          <w:rFonts w:hint="eastAsia" w:ascii="仿宋_GB2312" w:hAnsi="宋体" w:eastAsia="仿宋_GB2312"/>
          <w:color w:val="auto"/>
          <w:highlight w:val="none"/>
        </w:rPr>
        <w:t>万元；城乡社区支出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1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49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,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545</w:t>
      </w:r>
      <w:r>
        <w:rPr>
          <w:rFonts w:hint="eastAsia" w:ascii="仿宋_GB2312" w:hAnsi="宋体" w:eastAsia="仿宋_GB2312"/>
          <w:color w:val="auto"/>
          <w:highlight w:val="none"/>
        </w:rPr>
        <w:t>万元；农林水支出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37,59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3</w:t>
      </w:r>
      <w:r>
        <w:rPr>
          <w:rFonts w:hint="eastAsia" w:ascii="仿宋_GB2312" w:hAnsi="宋体" w:eastAsia="仿宋_GB2312"/>
          <w:color w:val="auto"/>
          <w:highlight w:val="none"/>
        </w:rPr>
        <w:t>万元；交通运输支出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2,76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6</w:t>
      </w:r>
      <w:r>
        <w:rPr>
          <w:rFonts w:hint="eastAsia" w:ascii="仿宋_GB2312" w:hAnsi="宋体" w:eastAsia="仿宋_GB2312"/>
          <w:color w:val="auto"/>
          <w:highlight w:val="none"/>
        </w:rPr>
        <w:t>万元；资源勘探信息等支出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3,826</w:t>
      </w:r>
      <w:r>
        <w:rPr>
          <w:rFonts w:hint="eastAsia" w:ascii="仿宋_GB2312" w:hAnsi="宋体" w:eastAsia="仿宋_GB2312"/>
          <w:color w:val="auto"/>
          <w:highlight w:val="none"/>
        </w:rPr>
        <w:t>万元；商业服务业等支出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1,718</w:t>
      </w:r>
      <w:r>
        <w:rPr>
          <w:rFonts w:hint="eastAsia" w:ascii="仿宋_GB2312" w:hAnsi="宋体" w:eastAsia="仿宋_GB2312"/>
          <w:color w:val="auto"/>
          <w:highlight w:val="none"/>
        </w:rPr>
        <w:t>万元；自然资源海洋气象等支出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3,384</w:t>
      </w:r>
      <w:r>
        <w:rPr>
          <w:rFonts w:hint="eastAsia" w:ascii="仿宋_GB2312" w:hAnsi="宋体" w:eastAsia="仿宋_GB2312"/>
          <w:color w:val="auto"/>
          <w:highlight w:val="none"/>
        </w:rPr>
        <w:t>万元；住房保障支出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2,365</w:t>
      </w:r>
      <w:r>
        <w:rPr>
          <w:rFonts w:hint="eastAsia" w:ascii="仿宋_GB2312" w:hAnsi="宋体" w:eastAsia="仿宋_GB2312"/>
          <w:color w:val="auto"/>
          <w:highlight w:val="none"/>
        </w:rPr>
        <w:t>万元；粮油物资储备支出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18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3</w:t>
      </w:r>
      <w:r>
        <w:rPr>
          <w:rFonts w:hint="eastAsia" w:ascii="仿宋_GB2312" w:hAnsi="宋体" w:eastAsia="仿宋_GB2312"/>
          <w:color w:val="auto"/>
          <w:highlight w:val="none"/>
        </w:rPr>
        <w:t>万元；灾害防治及应急管理支出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2,612</w:t>
      </w:r>
      <w:r>
        <w:rPr>
          <w:rFonts w:hint="eastAsia" w:ascii="仿宋_GB2312" w:hAnsi="宋体" w:eastAsia="仿宋_GB2312"/>
          <w:color w:val="auto"/>
          <w:highlight w:val="none"/>
        </w:rPr>
        <w:t>万元；其他支出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50</w:t>
      </w:r>
      <w:r>
        <w:rPr>
          <w:rFonts w:hint="eastAsia" w:ascii="仿宋_GB2312" w:hAnsi="宋体" w:eastAsia="仿宋_GB2312"/>
          <w:color w:val="auto"/>
          <w:highlight w:val="none"/>
        </w:rPr>
        <w:t>万元；债务付息支出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7,448</w:t>
      </w:r>
      <w:r>
        <w:rPr>
          <w:rFonts w:hint="eastAsia" w:ascii="仿宋_GB2312" w:hAnsi="宋体" w:eastAsia="仿宋_GB2312"/>
          <w:color w:val="auto"/>
          <w:highlight w:val="none"/>
        </w:rPr>
        <w:t>万元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；债务发行费用支出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42万元</w:t>
      </w:r>
      <w:r>
        <w:rPr>
          <w:rFonts w:hint="eastAsia" w:ascii="仿宋_GB2312" w:hAnsi="宋体" w:eastAsia="仿宋_GB2312"/>
          <w:color w:val="auto"/>
          <w:highlight w:val="none"/>
        </w:rPr>
        <w:t>。</w:t>
      </w:r>
    </w:p>
    <w:p w14:paraId="6164B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color w:val="auto"/>
          <w:highlight w:val="none"/>
        </w:rPr>
      </w:pPr>
      <w:r>
        <w:rPr>
          <w:rFonts w:hint="eastAsia" w:ascii="仿宋_GB2312" w:hAnsi="宋体" w:eastAsia="仿宋_GB2312"/>
          <w:color w:val="auto"/>
          <w:highlight w:val="none"/>
        </w:rPr>
        <w:t>依据上述收支情况，20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25</w:t>
      </w:r>
      <w:r>
        <w:rPr>
          <w:rFonts w:hint="eastAsia" w:ascii="仿宋_GB2312" w:hAnsi="宋体" w:eastAsia="仿宋_GB2312"/>
          <w:color w:val="auto"/>
          <w:highlight w:val="none"/>
        </w:rPr>
        <w:t>年全市一般公共预算收支执行结果：一般公共预算收入</w:t>
      </w:r>
      <w:r>
        <w:rPr>
          <w:rFonts w:hint="default" w:ascii="仿宋_GB2312" w:hAnsi="宋体" w:eastAsia="仿宋_GB2312"/>
          <w:color w:val="auto"/>
          <w:highlight w:val="none"/>
          <w:lang w:val="en-US" w:eastAsia="zh-CN"/>
        </w:rPr>
        <w:t>27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3</w:t>
      </w:r>
      <w:r>
        <w:rPr>
          <w:rFonts w:hint="default" w:ascii="仿宋_GB2312" w:hAnsi="宋体" w:eastAsia="仿宋_GB2312"/>
          <w:color w:val="auto"/>
          <w:highlight w:val="none"/>
          <w:lang w:val="en-US" w:eastAsia="zh-CN"/>
        </w:rPr>
        <w:t>,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787</w:t>
      </w:r>
      <w:r>
        <w:rPr>
          <w:rFonts w:hint="default" w:ascii="仿宋_GB2312" w:hAnsi="宋体" w:eastAsia="仿宋_GB2312"/>
          <w:color w:val="auto"/>
          <w:highlight w:val="none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highlight w:val="none"/>
        </w:rPr>
        <w:t>万元，加上上级补助收入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104,183</w:t>
      </w:r>
      <w:r>
        <w:rPr>
          <w:rFonts w:hint="eastAsia" w:ascii="仿宋_GB2312" w:hAnsi="宋体" w:eastAsia="仿宋_GB2312"/>
          <w:color w:val="auto"/>
          <w:highlight w:val="none"/>
        </w:rPr>
        <w:t>万元（其中返还性收入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28,167</w:t>
      </w:r>
      <w:r>
        <w:rPr>
          <w:rFonts w:hint="eastAsia" w:ascii="仿宋_GB2312" w:hAnsi="宋体" w:eastAsia="仿宋_GB2312"/>
          <w:color w:val="auto"/>
          <w:highlight w:val="none"/>
        </w:rPr>
        <w:t>万元、一般性转移支付收入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52,079</w:t>
      </w:r>
      <w:r>
        <w:rPr>
          <w:rFonts w:hint="eastAsia" w:ascii="仿宋_GB2312" w:hAnsi="宋体" w:eastAsia="仿宋_GB2312"/>
          <w:color w:val="auto"/>
          <w:highlight w:val="none"/>
        </w:rPr>
        <w:t>万元、专项转移支付收入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23,937</w:t>
      </w:r>
      <w:r>
        <w:rPr>
          <w:rFonts w:hint="eastAsia" w:ascii="仿宋_GB2312" w:hAnsi="宋体" w:eastAsia="仿宋_GB2312"/>
          <w:color w:val="auto"/>
          <w:highlight w:val="none"/>
        </w:rPr>
        <w:t>万元）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，</w:t>
      </w:r>
      <w:r>
        <w:rPr>
          <w:rFonts w:hint="eastAsia" w:ascii="仿宋_GB2312" w:hAnsi="宋体" w:eastAsia="仿宋_GB2312"/>
          <w:color w:val="auto"/>
          <w:highlight w:val="none"/>
        </w:rPr>
        <w:t>地方政府一般债务转贷收入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48,660</w:t>
      </w:r>
      <w:r>
        <w:rPr>
          <w:rFonts w:hint="eastAsia" w:ascii="仿宋_GB2312" w:hAnsi="宋体" w:eastAsia="仿宋_GB2312"/>
          <w:color w:val="auto"/>
          <w:highlight w:val="none"/>
        </w:rPr>
        <w:t>万元，调入资金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46,348</w:t>
      </w:r>
      <w:r>
        <w:rPr>
          <w:rFonts w:hint="eastAsia" w:ascii="仿宋_GB2312" w:hAnsi="宋体" w:eastAsia="仿宋_GB2312"/>
          <w:color w:val="auto"/>
          <w:highlight w:val="none"/>
        </w:rPr>
        <w:t>万元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（从国有资本经营预算调入38,093万元，从其他资金调入8,255万元）</w:t>
      </w:r>
      <w:r>
        <w:rPr>
          <w:rFonts w:hint="eastAsia" w:ascii="仿宋_GB2312" w:hAnsi="宋体" w:eastAsia="仿宋_GB2312"/>
          <w:color w:val="auto"/>
          <w:highlight w:val="none"/>
        </w:rPr>
        <w:t>和上年结余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3,503</w:t>
      </w:r>
      <w:r>
        <w:rPr>
          <w:rFonts w:hint="eastAsia" w:ascii="仿宋_GB2312" w:hAnsi="宋体" w:eastAsia="仿宋_GB2312"/>
          <w:color w:val="auto"/>
          <w:highlight w:val="none"/>
        </w:rPr>
        <w:t>万元，动用预算稳定调节基金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21,994</w:t>
      </w:r>
      <w:r>
        <w:rPr>
          <w:rFonts w:hint="eastAsia" w:ascii="仿宋_GB2312" w:hAnsi="宋体" w:eastAsia="仿宋_GB2312"/>
          <w:color w:val="auto"/>
          <w:highlight w:val="none"/>
        </w:rPr>
        <w:t>万元，总收入为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49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8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,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475</w:t>
      </w:r>
      <w:r>
        <w:rPr>
          <w:rFonts w:hint="eastAsia" w:ascii="仿宋_GB2312" w:hAnsi="宋体" w:eastAsia="仿宋_GB2312"/>
          <w:color w:val="auto"/>
          <w:highlight w:val="none"/>
        </w:rPr>
        <w:t>万元。一般公共预算支出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4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1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6,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267</w:t>
      </w:r>
      <w:r>
        <w:rPr>
          <w:rFonts w:hint="eastAsia" w:ascii="仿宋_GB2312" w:hAnsi="宋体" w:eastAsia="仿宋_GB2312"/>
          <w:color w:val="auto"/>
          <w:highlight w:val="none"/>
        </w:rPr>
        <w:t>万元，加上结算上解支出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20,448</w:t>
      </w:r>
      <w:r>
        <w:rPr>
          <w:rFonts w:hint="eastAsia" w:ascii="仿宋_GB2312" w:hAnsi="宋体" w:eastAsia="仿宋_GB2312"/>
          <w:color w:val="auto"/>
          <w:highlight w:val="none"/>
        </w:rPr>
        <w:t>万元，地方政府一般债务还本支出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36,985</w:t>
      </w:r>
      <w:r>
        <w:rPr>
          <w:rFonts w:hint="eastAsia" w:ascii="仿宋_GB2312" w:hAnsi="宋体" w:eastAsia="仿宋_GB2312"/>
          <w:color w:val="auto"/>
          <w:highlight w:val="none"/>
        </w:rPr>
        <w:t>万元，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安排预算稳定调节基金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21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,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175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万元，</w:t>
      </w:r>
      <w:r>
        <w:rPr>
          <w:rFonts w:hint="eastAsia" w:ascii="仿宋_GB2312" w:hAnsi="宋体" w:eastAsia="仿宋_GB2312"/>
          <w:color w:val="auto"/>
          <w:highlight w:val="none"/>
        </w:rPr>
        <w:t>总支出为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494,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875</w:t>
      </w:r>
      <w:r>
        <w:rPr>
          <w:rFonts w:hint="eastAsia" w:ascii="仿宋_GB2312" w:hAnsi="宋体" w:eastAsia="仿宋_GB2312"/>
          <w:color w:val="auto"/>
          <w:highlight w:val="none"/>
        </w:rPr>
        <w:t>万元。收支相抵，年终结余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3,600</w:t>
      </w:r>
      <w:r>
        <w:rPr>
          <w:rFonts w:hint="eastAsia" w:ascii="仿宋_GB2312" w:hAnsi="宋体" w:eastAsia="仿宋_GB2312"/>
          <w:color w:val="auto"/>
          <w:highlight w:val="none"/>
        </w:rPr>
        <w:t>万元，当年实现了收支平衡。</w:t>
      </w:r>
    </w:p>
    <w:p w14:paraId="3AED9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楷体_GB2312" w:hAnsi="宋体" w:eastAsia="楷体_GB2312"/>
          <w:color w:val="auto"/>
          <w:highlight w:val="none"/>
        </w:rPr>
      </w:pPr>
      <w:r>
        <w:rPr>
          <w:rFonts w:hint="eastAsia" w:ascii="楷体_GB2312" w:hAnsi="宋体" w:eastAsia="楷体_GB2312"/>
          <w:b/>
          <w:color w:val="auto"/>
          <w:highlight w:val="none"/>
        </w:rPr>
        <w:t>（二）政府性基金预算执行情况</w:t>
      </w:r>
    </w:p>
    <w:p w14:paraId="204A5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宋体" w:eastAsia="仿宋_GB2312"/>
          <w:b/>
          <w:color w:val="auto"/>
          <w:highlight w:val="none"/>
        </w:rPr>
      </w:pPr>
      <w:r>
        <w:rPr>
          <w:rFonts w:hint="eastAsia" w:ascii="仿宋_GB2312" w:hAnsi="宋体" w:eastAsia="仿宋_GB2312"/>
          <w:b/>
          <w:color w:val="auto"/>
          <w:highlight w:val="none"/>
        </w:rPr>
        <w:t>1.政府性基金</w:t>
      </w:r>
      <w:r>
        <w:rPr>
          <w:rFonts w:hint="eastAsia" w:ascii="仿宋_GB2312" w:hAnsi="宋体" w:eastAsia="仿宋_GB2312"/>
          <w:b/>
          <w:color w:val="auto"/>
          <w:highlight w:val="none"/>
          <w:lang w:eastAsia="zh-CN"/>
        </w:rPr>
        <w:t>预算</w:t>
      </w:r>
      <w:r>
        <w:rPr>
          <w:rFonts w:hint="eastAsia" w:ascii="仿宋_GB2312" w:hAnsi="宋体" w:eastAsia="仿宋_GB2312"/>
          <w:b/>
          <w:color w:val="auto"/>
          <w:highlight w:val="none"/>
        </w:rPr>
        <w:t>收入执行情况</w:t>
      </w:r>
    </w:p>
    <w:p w14:paraId="26A72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color w:val="auto"/>
          <w:highlight w:val="none"/>
        </w:rPr>
      </w:pP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202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5</w:t>
      </w:r>
      <w:r>
        <w:rPr>
          <w:rFonts w:hint="eastAsia" w:ascii="仿宋_GB2312" w:hAnsi="宋体" w:eastAsia="仿宋_GB2312"/>
          <w:color w:val="auto"/>
          <w:highlight w:val="none"/>
        </w:rPr>
        <w:t>年全市政府性基金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预算</w:t>
      </w:r>
      <w:r>
        <w:rPr>
          <w:rFonts w:hint="eastAsia" w:ascii="仿宋_GB2312" w:hAnsi="宋体" w:eastAsia="仿宋_GB2312"/>
          <w:color w:val="auto"/>
          <w:highlight w:val="none"/>
        </w:rPr>
        <w:t>收入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完成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89,978</w:t>
      </w:r>
      <w:r>
        <w:rPr>
          <w:rFonts w:hint="eastAsia" w:ascii="仿宋_GB2312" w:hAnsi="宋体" w:eastAsia="仿宋_GB2312"/>
          <w:color w:val="auto"/>
          <w:highlight w:val="none"/>
        </w:rPr>
        <w:t>万元，比上年决算数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增加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21,686</w:t>
      </w:r>
      <w:r>
        <w:rPr>
          <w:rFonts w:hint="eastAsia" w:ascii="仿宋_GB2312" w:hAnsi="宋体" w:eastAsia="仿宋_GB2312"/>
          <w:color w:val="auto"/>
          <w:highlight w:val="none"/>
        </w:rPr>
        <w:t>万元，同比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增长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31.75%，主要是国有土地出让收入增加17,269万元</w:t>
      </w:r>
      <w:r>
        <w:rPr>
          <w:rFonts w:hint="eastAsia" w:ascii="仿宋_GB2312" w:hAnsi="宋体" w:eastAsia="仿宋_GB2312"/>
          <w:color w:val="auto"/>
          <w:highlight w:val="none"/>
        </w:rPr>
        <w:t>。主要收入项目执行情况是：国有土地使用权出让收入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70,186</w:t>
      </w:r>
      <w:r>
        <w:rPr>
          <w:rFonts w:hint="eastAsia" w:ascii="仿宋_GB2312" w:hAnsi="宋体" w:eastAsia="仿宋_GB2312"/>
          <w:color w:val="auto"/>
          <w:highlight w:val="none"/>
        </w:rPr>
        <w:t>万元；彩票公益金收入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399</w:t>
      </w:r>
      <w:r>
        <w:rPr>
          <w:rFonts w:hint="eastAsia" w:ascii="仿宋_GB2312" w:hAnsi="宋体" w:eastAsia="仿宋_GB2312"/>
          <w:color w:val="auto"/>
          <w:highlight w:val="none"/>
        </w:rPr>
        <w:t>万元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；城市基础设施配套费收入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283万元；污水处理费收入2,310万元；其他政府性基金相关收入16,800万元</w:t>
      </w:r>
      <w:r>
        <w:rPr>
          <w:rFonts w:hint="eastAsia" w:ascii="仿宋_GB2312" w:hAnsi="宋体" w:eastAsia="仿宋_GB2312"/>
          <w:color w:val="auto"/>
          <w:highlight w:val="none"/>
        </w:rPr>
        <w:t>。</w:t>
      </w:r>
    </w:p>
    <w:p w14:paraId="5A359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宋体" w:eastAsia="仿宋_GB2312"/>
          <w:b/>
          <w:color w:val="auto"/>
          <w:highlight w:val="none"/>
        </w:rPr>
      </w:pPr>
      <w:r>
        <w:rPr>
          <w:rFonts w:hint="eastAsia" w:ascii="仿宋_GB2312" w:hAnsi="宋体" w:eastAsia="仿宋_GB2312"/>
          <w:b/>
          <w:color w:val="auto"/>
          <w:highlight w:val="none"/>
        </w:rPr>
        <w:t>2.政府性基金</w:t>
      </w:r>
      <w:r>
        <w:rPr>
          <w:rFonts w:hint="eastAsia" w:ascii="仿宋_GB2312" w:hAnsi="宋体" w:eastAsia="仿宋_GB2312"/>
          <w:b/>
          <w:color w:val="auto"/>
          <w:highlight w:val="none"/>
          <w:lang w:eastAsia="zh-CN"/>
        </w:rPr>
        <w:t>预算</w:t>
      </w:r>
      <w:r>
        <w:rPr>
          <w:rFonts w:hint="eastAsia" w:ascii="仿宋_GB2312" w:hAnsi="宋体" w:eastAsia="仿宋_GB2312"/>
          <w:b/>
          <w:color w:val="auto"/>
          <w:highlight w:val="none"/>
        </w:rPr>
        <w:t>支出执行情况</w:t>
      </w:r>
    </w:p>
    <w:p w14:paraId="375E1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202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5</w:t>
      </w:r>
      <w:r>
        <w:rPr>
          <w:rFonts w:hint="eastAsia" w:ascii="仿宋_GB2312" w:hAnsi="宋体" w:eastAsia="仿宋_GB2312"/>
          <w:color w:val="auto"/>
          <w:highlight w:val="none"/>
        </w:rPr>
        <w:t>年全市政府性基金预算支出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180,9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24</w:t>
      </w:r>
      <w:r>
        <w:rPr>
          <w:rFonts w:hint="eastAsia" w:ascii="仿宋_GB2312" w:hAnsi="宋体" w:eastAsia="仿宋_GB2312"/>
          <w:color w:val="auto"/>
          <w:highlight w:val="none"/>
        </w:rPr>
        <w:t>万元，比上年决算数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增加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37,1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48</w:t>
      </w:r>
      <w:r>
        <w:rPr>
          <w:rFonts w:hint="eastAsia" w:ascii="仿宋_GB2312" w:hAnsi="宋体" w:eastAsia="仿宋_GB2312"/>
          <w:color w:val="auto"/>
          <w:highlight w:val="none"/>
        </w:rPr>
        <w:t>万元，同比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增长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25.8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4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%，主要是城乡社区支出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增加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50,57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1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万元</w:t>
      </w:r>
      <w:r>
        <w:rPr>
          <w:rFonts w:hint="eastAsia" w:ascii="仿宋_GB2312" w:hAnsi="宋体" w:eastAsia="仿宋_GB2312"/>
          <w:color w:val="auto"/>
          <w:highlight w:val="none"/>
        </w:rPr>
        <w:t>。主要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支出</w:t>
      </w:r>
      <w:r>
        <w:rPr>
          <w:rFonts w:hint="eastAsia" w:ascii="仿宋_GB2312" w:hAnsi="宋体" w:eastAsia="仿宋_GB2312"/>
          <w:color w:val="auto"/>
          <w:highlight w:val="none"/>
        </w:rPr>
        <w:t>项目执行情况是：文化旅游体育与传媒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支出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万元；城乡社区支出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71,382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农林水支出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1,164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万元；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交通运输支出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551万元；资源勘探工业信息等支出2,093万元；住房保障支出105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万元；其他支出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86,454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万元；债</w:t>
      </w:r>
      <w:r>
        <w:rPr>
          <w:rFonts w:hint="eastAsia" w:ascii="仿宋_GB2312" w:hAnsi="宋体" w:eastAsia="仿宋_GB2312"/>
          <w:color w:val="auto"/>
          <w:highlight w:val="none"/>
        </w:rPr>
        <w:t>务付息支出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19,039</w:t>
      </w:r>
      <w:r>
        <w:rPr>
          <w:rFonts w:hint="eastAsia" w:ascii="仿宋_GB2312" w:hAnsi="宋体" w:eastAsia="仿宋_GB2312"/>
          <w:color w:val="auto"/>
          <w:highlight w:val="none"/>
        </w:rPr>
        <w:t>万元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；债务发行费用支出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120万元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。</w:t>
      </w:r>
    </w:p>
    <w:p w14:paraId="4C076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color w:val="auto"/>
          <w:highlight w:val="none"/>
        </w:rPr>
      </w:pPr>
      <w:r>
        <w:rPr>
          <w:rFonts w:hint="eastAsia" w:ascii="仿宋_GB2312" w:hAnsi="宋体" w:eastAsia="仿宋_GB2312"/>
          <w:color w:val="auto"/>
          <w:highlight w:val="none"/>
        </w:rPr>
        <w:t>依据上述收支情况，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202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5</w:t>
      </w:r>
      <w:r>
        <w:rPr>
          <w:rFonts w:hint="eastAsia" w:ascii="仿宋_GB2312" w:hAnsi="宋体" w:eastAsia="仿宋_GB2312"/>
          <w:color w:val="auto"/>
          <w:highlight w:val="none"/>
        </w:rPr>
        <w:t>年全市政府性基金收支执行结果：政府性基金预算收入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89,978</w:t>
      </w:r>
      <w:r>
        <w:rPr>
          <w:rFonts w:hint="eastAsia" w:ascii="仿宋_GB2312" w:hAnsi="宋体" w:eastAsia="仿宋_GB2312"/>
          <w:color w:val="auto"/>
          <w:highlight w:val="none"/>
        </w:rPr>
        <w:t>万元，加上上级补助收入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3,885</w:t>
      </w:r>
      <w:r>
        <w:rPr>
          <w:rFonts w:hint="eastAsia" w:ascii="仿宋_GB2312" w:hAnsi="宋体" w:eastAsia="仿宋_GB2312"/>
          <w:color w:val="auto"/>
          <w:highlight w:val="none"/>
        </w:rPr>
        <w:t>万元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，</w:t>
      </w:r>
      <w:r>
        <w:rPr>
          <w:rFonts w:hint="eastAsia" w:ascii="仿宋_GB2312" w:hAnsi="宋体" w:eastAsia="仿宋_GB2312"/>
          <w:color w:val="auto"/>
          <w:highlight w:val="none"/>
        </w:rPr>
        <w:t>地方政府专项债务转贷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收入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143,173</w:t>
      </w:r>
      <w:r>
        <w:rPr>
          <w:rFonts w:hint="eastAsia" w:ascii="仿宋_GB2312" w:hAnsi="宋体" w:eastAsia="仿宋_GB2312"/>
          <w:color w:val="auto"/>
          <w:highlight w:val="none"/>
        </w:rPr>
        <w:t>万元和上年结余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27,111</w:t>
      </w:r>
      <w:r>
        <w:rPr>
          <w:rFonts w:hint="eastAsia" w:ascii="仿宋_GB2312" w:hAnsi="宋体" w:eastAsia="仿宋_GB2312"/>
          <w:color w:val="auto"/>
          <w:highlight w:val="none"/>
        </w:rPr>
        <w:t>万元，总收入为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264,147</w:t>
      </w:r>
      <w:r>
        <w:rPr>
          <w:rFonts w:hint="eastAsia" w:ascii="仿宋_GB2312" w:hAnsi="宋体" w:eastAsia="仿宋_GB2312"/>
          <w:color w:val="auto"/>
          <w:highlight w:val="none"/>
        </w:rPr>
        <w:t>万元。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202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5</w:t>
      </w:r>
      <w:r>
        <w:rPr>
          <w:rFonts w:hint="eastAsia" w:ascii="仿宋_GB2312" w:hAnsi="宋体" w:eastAsia="仿宋_GB2312"/>
          <w:color w:val="auto"/>
          <w:highlight w:val="none"/>
        </w:rPr>
        <w:t>年政府性基金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预算</w:t>
      </w:r>
      <w:r>
        <w:rPr>
          <w:rFonts w:hint="eastAsia" w:ascii="仿宋_GB2312" w:hAnsi="宋体" w:eastAsia="仿宋_GB2312"/>
          <w:color w:val="auto"/>
          <w:highlight w:val="none"/>
        </w:rPr>
        <w:t>支出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180,924</w:t>
      </w:r>
      <w:r>
        <w:rPr>
          <w:rFonts w:hint="eastAsia" w:ascii="仿宋_GB2312" w:hAnsi="宋体" w:eastAsia="仿宋_GB2312"/>
          <w:color w:val="auto"/>
          <w:highlight w:val="none"/>
        </w:rPr>
        <w:t>万元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，专项债还本支出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58,648</w:t>
      </w:r>
      <w:r>
        <w:rPr>
          <w:rFonts w:hint="eastAsia" w:ascii="仿宋_GB2312" w:hAnsi="宋体" w:eastAsia="仿宋_GB2312"/>
          <w:color w:val="auto"/>
          <w:highlight w:val="none"/>
        </w:rPr>
        <w:t>万元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，上解上级支出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1</w:t>
      </w:r>
      <w:bookmarkStart w:id="0" w:name="OLE_LINK6"/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,</w:t>
      </w:r>
      <w:bookmarkEnd w:id="0"/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450万元，</w:t>
      </w:r>
      <w:r>
        <w:rPr>
          <w:rFonts w:hint="eastAsia" w:ascii="仿宋_GB2312" w:hAnsi="宋体" w:eastAsia="仿宋_GB2312"/>
          <w:color w:val="auto"/>
          <w:highlight w:val="none"/>
        </w:rPr>
        <w:t>总支出为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241,022</w:t>
      </w:r>
      <w:r>
        <w:rPr>
          <w:rFonts w:hint="eastAsia" w:ascii="仿宋_GB2312" w:hAnsi="宋体" w:eastAsia="仿宋_GB2312"/>
          <w:color w:val="auto"/>
          <w:highlight w:val="none"/>
        </w:rPr>
        <w:t>万元。收支相抵，年终结余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23,125</w:t>
      </w:r>
      <w:r>
        <w:rPr>
          <w:rFonts w:hint="eastAsia" w:ascii="仿宋_GB2312" w:hAnsi="宋体" w:eastAsia="仿宋_GB2312"/>
          <w:color w:val="auto"/>
          <w:highlight w:val="none"/>
        </w:rPr>
        <w:t>万元，当年实现了收支平衡。</w:t>
      </w:r>
    </w:p>
    <w:p w14:paraId="6A8A9968">
      <w:pPr>
        <w:pStyle w:val="10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ascii="楷体_GB2312" w:hAnsi="宋体" w:eastAsia="楷体_GB2312"/>
          <w:b/>
          <w:color w:val="auto"/>
          <w:kern w:val="2"/>
          <w:sz w:val="32"/>
          <w:highlight w:val="none"/>
        </w:rPr>
      </w:pPr>
      <w:r>
        <w:rPr>
          <w:rFonts w:hint="eastAsia" w:ascii="楷体_GB2312" w:hAnsi="宋体" w:eastAsia="楷体_GB2312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（三）</w:t>
      </w:r>
      <w:r>
        <w:rPr>
          <w:rFonts w:hint="eastAsia" w:ascii="楷体_GB2312" w:hAnsi="宋体" w:eastAsia="楷体_GB2312"/>
          <w:b/>
          <w:color w:val="auto"/>
          <w:kern w:val="2"/>
          <w:sz w:val="32"/>
          <w:highlight w:val="none"/>
        </w:rPr>
        <w:t>国有资本经营预算收支执行情况</w:t>
      </w:r>
    </w:p>
    <w:p w14:paraId="2C4CC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2025年我市国有资本经营预算收入完成38,093万元，加上上级补助2万元；国有资本经营预算支出2万元，调出到一般公共预算38,093万元。</w:t>
      </w:r>
    </w:p>
    <w:p w14:paraId="2C7D4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楷体_GB2312" w:hAnsi="宋体" w:eastAsia="楷体_GB2312"/>
          <w:b/>
          <w:color w:val="auto"/>
          <w:highlight w:val="none"/>
        </w:rPr>
      </w:pPr>
      <w:r>
        <w:rPr>
          <w:rFonts w:hint="eastAsia" w:ascii="楷体_GB2312" w:hAnsi="宋体" w:eastAsia="楷体_GB2312"/>
          <w:b/>
          <w:color w:val="auto"/>
          <w:kern w:val="2"/>
          <w:sz w:val="32"/>
          <w:highlight w:val="none"/>
        </w:rPr>
        <w:t>（四）</w:t>
      </w:r>
      <w:r>
        <w:rPr>
          <w:rFonts w:hint="eastAsia" w:ascii="楷体_GB2312" w:hAnsi="宋体" w:eastAsia="楷体_GB2312"/>
          <w:b/>
          <w:color w:val="auto"/>
          <w:highlight w:val="none"/>
        </w:rPr>
        <w:t>社保基金预算收支执行情况</w:t>
      </w:r>
    </w:p>
    <w:p w14:paraId="00CCF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2025年社会保险基金预算收入14,685万元，其中：城乡居民基本养老保险6,268万元，机关事业单位养老保险8,417万元。</w:t>
      </w:r>
    </w:p>
    <w:p w14:paraId="2E972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2025年社会保险基金预算支出10,954万元，其中：城乡居民基本养老保险4,397万元，机关事业单位养老保险6,557万元。当年收支结余3,731万元。</w:t>
      </w:r>
    </w:p>
    <w:p w14:paraId="2C382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以上是预算执行数，由于上级补助收入和上解支出在省、市决算编制汇总后可能会有调整，总收入、总支出及净结余也相应会发生一些变化，届时再报告。</w:t>
      </w:r>
    </w:p>
    <w:p w14:paraId="02E685EB">
      <w:pPr>
        <w:pStyle w:val="10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楷体_GB2312" w:hAnsi="宋体" w:eastAsia="楷体_GB2312"/>
          <w:b/>
          <w:color w:val="auto"/>
          <w:kern w:val="2"/>
          <w:sz w:val="32"/>
          <w:highlight w:val="none"/>
          <w:lang w:eastAsia="zh-CN"/>
        </w:rPr>
      </w:pPr>
      <w:r>
        <w:rPr>
          <w:rFonts w:hint="eastAsia" w:ascii="楷体_GB2312" w:hAnsi="宋体" w:eastAsia="楷体_GB2312"/>
          <w:b/>
          <w:color w:val="auto"/>
          <w:kern w:val="2"/>
          <w:sz w:val="32"/>
          <w:highlight w:val="none"/>
        </w:rPr>
        <w:t>（</w:t>
      </w:r>
      <w:r>
        <w:rPr>
          <w:rFonts w:hint="eastAsia" w:ascii="楷体_GB2312" w:hAnsi="宋体" w:eastAsia="楷体_GB2312"/>
          <w:b/>
          <w:color w:val="auto"/>
          <w:kern w:val="2"/>
          <w:sz w:val="32"/>
          <w:highlight w:val="none"/>
          <w:lang w:eastAsia="zh-CN"/>
        </w:rPr>
        <w:t>五</w:t>
      </w:r>
      <w:r>
        <w:rPr>
          <w:rFonts w:hint="eastAsia" w:ascii="楷体_GB2312" w:hAnsi="宋体" w:eastAsia="楷体_GB2312"/>
          <w:b/>
          <w:color w:val="auto"/>
          <w:kern w:val="2"/>
          <w:sz w:val="32"/>
          <w:highlight w:val="none"/>
        </w:rPr>
        <w:t>）</w:t>
      </w:r>
      <w:r>
        <w:rPr>
          <w:rFonts w:hint="eastAsia" w:ascii="楷体_GB2312" w:hAnsi="宋体" w:eastAsia="楷体_GB2312"/>
          <w:b/>
          <w:color w:val="auto"/>
          <w:kern w:val="2"/>
          <w:sz w:val="32"/>
          <w:highlight w:val="none"/>
          <w:lang w:eastAsia="zh-CN"/>
        </w:rPr>
        <w:t>202</w:t>
      </w:r>
      <w:r>
        <w:rPr>
          <w:rFonts w:hint="eastAsia" w:ascii="楷体_GB2312" w:hAnsi="宋体" w:eastAsia="楷体_GB2312"/>
          <w:b/>
          <w:color w:val="auto"/>
          <w:kern w:val="2"/>
          <w:sz w:val="32"/>
          <w:highlight w:val="none"/>
          <w:lang w:val="en-US" w:eastAsia="zh-CN"/>
        </w:rPr>
        <w:t>5</w:t>
      </w:r>
      <w:r>
        <w:rPr>
          <w:rFonts w:hint="eastAsia" w:ascii="楷体_GB2312" w:hAnsi="宋体" w:eastAsia="楷体_GB2312"/>
          <w:b/>
          <w:color w:val="auto"/>
          <w:kern w:val="2"/>
          <w:sz w:val="32"/>
          <w:highlight w:val="none"/>
        </w:rPr>
        <w:t>年财政工作</w:t>
      </w:r>
      <w:r>
        <w:rPr>
          <w:rFonts w:hint="eastAsia" w:ascii="楷体_GB2312" w:hAnsi="宋体" w:eastAsia="楷体_GB2312"/>
          <w:b/>
          <w:color w:val="auto"/>
          <w:kern w:val="2"/>
          <w:sz w:val="32"/>
          <w:highlight w:val="none"/>
          <w:lang w:eastAsia="zh-CN"/>
        </w:rPr>
        <w:t>主要成效</w:t>
      </w:r>
    </w:p>
    <w:p w14:paraId="43EA2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/>
          <w:color w:val="auto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202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5</w:t>
      </w:r>
      <w:r>
        <w:rPr>
          <w:rFonts w:hint="eastAsia" w:ascii="仿宋_GB2312" w:hAnsi="宋体" w:eastAsia="仿宋_GB2312"/>
          <w:color w:val="auto"/>
          <w:highlight w:val="none"/>
        </w:rPr>
        <w:t>年，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财政部门</w:t>
      </w:r>
      <w:r>
        <w:rPr>
          <w:rFonts w:hint="default" w:ascii="仿宋_GB2312" w:hAnsi="宋体" w:eastAsia="仿宋_GB2312"/>
          <w:color w:val="auto"/>
          <w:highlight w:val="none"/>
          <w:lang w:eastAsia="zh-CN"/>
        </w:rPr>
        <w:t>坚持“以政领财，以财辅政”工作理念，紧紧围绕市委、市政府的决策部署，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贯彻</w:t>
      </w:r>
      <w:r>
        <w:rPr>
          <w:rFonts w:hint="default" w:ascii="仿宋_GB2312" w:hAnsi="宋体" w:eastAsia="仿宋_GB2312"/>
          <w:color w:val="auto"/>
          <w:highlight w:val="none"/>
          <w:lang w:eastAsia="zh-CN"/>
        </w:rPr>
        <w:t>落实市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三</w:t>
      </w:r>
      <w:r>
        <w:rPr>
          <w:rFonts w:hint="default" w:ascii="仿宋_GB2312" w:hAnsi="宋体" w:eastAsia="仿宋_GB2312"/>
          <w:color w:val="auto"/>
          <w:highlight w:val="none"/>
          <w:lang w:eastAsia="zh-CN"/>
        </w:rPr>
        <w:t>届人大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五</w:t>
      </w:r>
      <w:r>
        <w:rPr>
          <w:rFonts w:hint="default" w:ascii="仿宋_GB2312" w:hAnsi="宋体" w:eastAsia="仿宋_GB2312"/>
          <w:color w:val="auto"/>
          <w:highlight w:val="none"/>
          <w:lang w:eastAsia="zh-CN"/>
        </w:rPr>
        <w:t>次会议作出的各项决议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和审议意见</w:t>
      </w:r>
      <w:r>
        <w:rPr>
          <w:rFonts w:hint="default" w:ascii="仿宋_GB2312" w:hAnsi="宋体" w:eastAsia="仿宋_GB2312"/>
          <w:color w:val="auto"/>
          <w:highlight w:val="none"/>
          <w:lang w:eastAsia="zh-CN"/>
        </w:rPr>
        <w:t>，扎实做好稳增长、防风险、保稳定、惠民生等各项工作，</w:t>
      </w:r>
      <w:r>
        <w:rPr>
          <w:rFonts w:hint="eastAsia" w:ascii="仿宋_GB2312" w:hAnsi="宋体" w:eastAsia="仿宋_GB2312"/>
          <w:color w:val="auto"/>
          <w:highlight w:val="none"/>
        </w:rPr>
        <w:t>进一步提升理财效能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，</w:t>
      </w:r>
      <w:r>
        <w:rPr>
          <w:rFonts w:hint="default" w:ascii="仿宋_GB2312" w:hAnsi="宋体" w:eastAsia="仿宋_GB2312"/>
          <w:color w:val="auto"/>
          <w:highlight w:val="none"/>
          <w:lang w:eastAsia="zh-CN"/>
        </w:rPr>
        <w:t>加快推进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我市经济社会</w:t>
      </w:r>
      <w:r>
        <w:rPr>
          <w:rFonts w:hint="default" w:ascii="仿宋_GB2312" w:hAnsi="宋体" w:eastAsia="仿宋_GB2312"/>
          <w:color w:val="auto"/>
          <w:highlight w:val="none"/>
          <w:lang w:eastAsia="zh-CN"/>
        </w:rPr>
        <w:t>高质量发展。</w:t>
      </w:r>
    </w:p>
    <w:p w14:paraId="26549343"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一是抓政策、谋发展，促进经济回升向好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扩大有效投资。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年全市新增专项债券资金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8.56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亿元，重点投向城乡冷链物流设施、市政、公共服务等民生领域信息化，产业园区基础设施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城镇老旧小区改造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老旧街区改造等领域；争取支持“两重”及大规模设备更新项目超长期特别国债资金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77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元，用于农业机械报废更新、大规模设备更新、家装厨卫更新、居家适老化改造等项目，更好发挥政府投资带动放大效应。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释放消费潜力。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统筹安排“两新”领域消费品以旧换新活动，带动家装厨卫消费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1,458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万元，促进消费提质升级，持续释放消费活力。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激发市场活力。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发挥“财园信贷通”、担保贷款等财政金融工具杠杆作用，发放贷款资金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2.37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亿元；落实减税降费各项税费优惠政策，切切实实为企业减轻负担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亿元。</w:t>
      </w:r>
    </w:p>
    <w:p w14:paraId="196AB4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highlight w:val="none"/>
        </w:rPr>
        <w:t>保重点、惠民生，加大社会保障投入。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推动落实就业优先战略。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2025年发放个人及小微企业创业担保贷款2.76亿元，直接扶持创业540人次，带动就业5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846人次。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大力支持教育强市战略。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全市教育事业投入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万元，同比增支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万元，增长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7.54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%，主要支持用于了城乡义务教育补助、义务教育薄弱环节改善与能力提升、改善普通高中办学条件、教育质量提升项目等。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统筹推进乡村振兴事业。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不断加大对农业农村事业的投入力度，整合涉农资金3.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76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亿元、乡村振兴衔接资金3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332万元；聚焦粮食安全，累计发放耕地地力补贴1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095万元,争取高标准农田建设补助资金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775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。省委、省政府确定的10件民生实事全面完成，落实资金保障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232万元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年全市民生支出达到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3.72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亿元，增长</w:t>
      </w:r>
      <w:r>
        <w:rPr>
          <w:rFonts w:hint="default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27.83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%，占一般公共预算支出的比重达到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%，有力地保障了民生支出。</w:t>
      </w:r>
    </w:p>
    <w:p w14:paraId="62FC894A"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三是防风险、重实效，提升风险防控能力。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防范“三保”风险。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从源头防范“三保”风险，2025年全市安排“三保”支出6.37亿元，足额保障“三保”资金需求；加强常态化监测，依托财政运行监测系统，监测财政运行状况，确保库款保障有力。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防范债务风险。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制定“一县一策”“一项一策”，推动“一揽子化债”方案在我市走深走实、见行见效；积极争取“化债限额”、过紧日子节约财政资金、积极盘活资源资产等方式合法合规筹措化债资金，实现融资平台隐性债务清零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加强财会监督。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开展2025年度财经纪律专项整治，围绕地方财经纪律重点问题、重点民生领域资金等开展监督检查和专项整治，堵塞资金监管使用漏洞，严肃查处各类违规违纪行为。</w:t>
      </w:r>
    </w:p>
    <w:p w14:paraId="763085BB"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四是深改革、激活力，推动财税体制创新。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深化预算绩效管理。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建立健全事前、事中、事后的全过程绩效评价机制，扩大重点部门与重点资金绩效覆盖面，强化结果运用，逐步优化健全绩效评价结果与预算安排和政策调整挂钩机制。对7个重点项目和1个部门整体深入开展财政重点绩效评价工作，总评资金2.5亿元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深化乡镇财政资金管理。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推进乡镇财政资金管理试点和办公费、环境整治费、广告宣传费、餐费、招商引资费五项费用限额管理，提升乡镇财政资金管理水平。2025年乡镇“五费”同比下降49.45%。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推进乡镇财政管理体制改革。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制定《共青城市乡镇财政管理体制改革方案》，理顺市乡财政分配关系，充分调动乡镇发展经济、增收节支的积极性，建设与乡镇相适应的现代财政制度。</w:t>
      </w:r>
    </w:p>
    <w:p w14:paraId="371010C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过去的一年成绩来之不易，是市委、市政府正确领导、科学决策的结果，是市人大依法监督和市政协民主监督的结果。同时，我们也清醒认识到，当前财政工作还</w:t>
      </w:r>
      <w:r>
        <w:rPr>
          <w:rFonts w:hint="eastAsia" w:ascii="仿宋_GB2312" w:hAnsi="仿宋_GB2312" w:eastAsia="仿宋_GB2312" w:cs="仿宋_GB2312"/>
          <w:lang w:eastAsia="zh-CN"/>
        </w:rPr>
        <w:t>面临一些挑战</w:t>
      </w:r>
      <w:r>
        <w:rPr>
          <w:rFonts w:hint="eastAsia" w:ascii="仿宋_GB2312" w:hAnsi="仿宋_GB2312" w:eastAsia="仿宋_GB2312" w:cs="仿宋_GB2312"/>
        </w:rPr>
        <w:t>和困难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</w:rPr>
        <w:t>主要表现在：</w:t>
      </w:r>
      <w:r>
        <w:rPr>
          <w:rFonts w:hint="eastAsia" w:ascii="仿宋_GB2312" w:hAnsi="仿宋_GB2312" w:eastAsia="仿宋_GB2312" w:cs="仿宋_GB2312"/>
          <w:lang w:eastAsia="zh-CN"/>
        </w:rPr>
        <w:t>税收</w:t>
      </w:r>
      <w:r>
        <w:rPr>
          <w:rFonts w:hint="eastAsia" w:ascii="仿宋_GB2312" w:hAnsi="仿宋_GB2312" w:eastAsia="仿宋_GB2312" w:cs="仿宋_GB2312"/>
        </w:rPr>
        <w:t>收入结构不够合理，土地出让收入不及预期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</w:rPr>
        <w:t>财政收入实现平稳增长压力较大；与此同时，“三保”</w:t>
      </w:r>
      <w:r>
        <w:rPr>
          <w:rFonts w:hint="eastAsia" w:ascii="仿宋_GB2312" w:hAnsi="仿宋_GB2312" w:eastAsia="仿宋_GB2312" w:cs="仿宋_GB2312"/>
          <w:lang w:eastAsia="zh-CN"/>
        </w:rPr>
        <w:t>支出</w:t>
      </w:r>
      <w:r>
        <w:rPr>
          <w:rFonts w:hint="eastAsia" w:ascii="仿宋_GB2312" w:hAnsi="仿宋_GB2312" w:eastAsia="仿宋_GB2312" w:cs="仿宋_GB2312"/>
        </w:rPr>
        <w:t>、债务还本付息</w:t>
      </w:r>
      <w:r>
        <w:rPr>
          <w:rFonts w:hint="eastAsia" w:ascii="仿宋_GB2312" w:hAnsi="仿宋_GB2312" w:eastAsia="仿宋_GB2312" w:cs="仿宋_GB2312"/>
          <w:lang w:eastAsia="zh-CN"/>
        </w:rPr>
        <w:t>、消化暂付款</w:t>
      </w:r>
      <w:r>
        <w:rPr>
          <w:rFonts w:hint="eastAsia" w:ascii="仿宋_GB2312" w:hAnsi="仿宋_GB2312" w:eastAsia="仿宋_GB2312" w:cs="仿宋_GB2312"/>
        </w:rPr>
        <w:t>等刚性支出需求持续加大，财政收支矛盾依然突出，财政紧平衡成为常态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对此，我们将高度重视，在今后的工作中采取有效措施予以妥善解决。</w:t>
      </w:r>
    </w:p>
    <w:p w14:paraId="27717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宋体" w:eastAsia="黑体"/>
          <w:color w:val="auto"/>
          <w:highlight w:val="none"/>
        </w:rPr>
      </w:pPr>
      <w:r>
        <w:rPr>
          <w:rFonts w:hint="eastAsia" w:ascii="黑体" w:hAnsi="宋体" w:eastAsia="黑体"/>
          <w:color w:val="auto"/>
          <w:highlight w:val="none"/>
        </w:rPr>
        <w:t>二、202</w:t>
      </w:r>
      <w:r>
        <w:rPr>
          <w:rFonts w:hint="eastAsia" w:ascii="黑体" w:hAnsi="宋体" w:eastAsia="黑体"/>
          <w:color w:val="auto"/>
          <w:highlight w:val="none"/>
          <w:lang w:val="en-US" w:eastAsia="zh-CN"/>
        </w:rPr>
        <w:t>6</w:t>
      </w:r>
      <w:r>
        <w:rPr>
          <w:rFonts w:hint="eastAsia" w:ascii="黑体" w:hAnsi="宋体" w:eastAsia="黑体"/>
          <w:color w:val="auto"/>
          <w:highlight w:val="none"/>
        </w:rPr>
        <w:t>年财政预算草案</w:t>
      </w:r>
      <w:r>
        <w:rPr>
          <w:rFonts w:hint="eastAsia" w:ascii="黑体" w:hAnsi="宋体" w:eastAsia="黑体"/>
          <w:color w:val="auto"/>
          <w:highlight w:val="none"/>
        </w:rPr>
        <w:tab/>
      </w:r>
    </w:p>
    <w:p w14:paraId="51C93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2026年预算编制遵循预算法“统筹兼顾、勤俭节约、量力而行、讲求绩效和收支平衡”的原则，坚持先有预算后有支出，总体要求为：收入预算编制坚持实事求是、科学预测，与经济社会发展水平相适应，与更加积极的财政政策相衔接。支出预算编制坚持厉行勤俭节约，坚决落实党政机关坚持习惯过紧日子的要求，把钱花在刀刃上。强化零基预算管理，优化支出结构，增强财政可持续性，坚持尽力而为、量力而行，集中财力保障“三保”支出，支持市委、市政府确定的重大事项。加强财政资源统筹，盘活各类财政资金和资产，增强对重大战略任务的资金保障能力。</w:t>
      </w:r>
    </w:p>
    <w:p w14:paraId="33F76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宋体" w:eastAsia="仿宋_GB2312"/>
          <w:color w:val="auto"/>
          <w:highlight w:val="none"/>
        </w:rPr>
      </w:pP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综合考虑</w:t>
      </w:r>
      <w:r>
        <w:rPr>
          <w:rFonts w:hint="eastAsia" w:ascii="仿宋_GB2312" w:hAnsi="宋体" w:eastAsia="仿宋_GB2312"/>
          <w:color w:val="auto"/>
          <w:highlight w:val="none"/>
        </w:rPr>
        <w:t>202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6</w:t>
      </w:r>
      <w:r>
        <w:rPr>
          <w:rFonts w:hint="eastAsia" w:ascii="仿宋_GB2312" w:hAnsi="宋体" w:eastAsia="仿宋_GB2312"/>
          <w:color w:val="auto"/>
          <w:highlight w:val="none"/>
        </w:rPr>
        <w:t>年收入增减因素和各方面需求变化，结合我市实际，编制了202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6</w:t>
      </w:r>
      <w:r>
        <w:rPr>
          <w:rFonts w:hint="eastAsia" w:ascii="仿宋_GB2312" w:hAnsi="宋体" w:eastAsia="仿宋_GB2312"/>
          <w:color w:val="auto"/>
          <w:highlight w:val="none"/>
        </w:rPr>
        <w:t>年财政预算草案。</w:t>
      </w:r>
    </w:p>
    <w:p w14:paraId="5F859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楷体_GB2312" w:hAnsi="宋体" w:eastAsia="楷体_GB2312"/>
          <w:b/>
          <w:color w:val="auto"/>
          <w:highlight w:val="none"/>
        </w:rPr>
      </w:pPr>
      <w:r>
        <w:rPr>
          <w:rFonts w:hint="eastAsia" w:ascii="楷体_GB2312" w:hAnsi="宋体" w:eastAsia="楷体_GB2312"/>
          <w:b/>
          <w:color w:val="auto"/>
          <w:highlight w:val="none"/>
        </w:rPr>
        <w:t>（一）一般公共预算收支安排情况</w:t>
      </w:r>
    </w:p>
    <w:p w14:paraId="63180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仿宋_GB2312" w:hAnsi="宋体" w:eastAsia="仿宋_GB2312"/>
          <w:b/>
          <w:color w:val="auto"/>
          <w:highlight w:val="none"/>
        </w:rPr>
      </w:pPr>
      <w:r>
        <w:rPr>
          <w:rFonts w:hint="eastAsia" w:ascii="仿宋_GB2312" w:hAnsi="宋体" w:eastAsia="仿宋_GB2312"/>
          <w:b/>
          <w:color w:val="auto"/>
          <w:highlight w:val="none"/>
        </w:rPr>
        <w:t>1.一般公共预算收入安排情况</w:t>
      </w:r>
    </w:p>
    <w:p w14:paraId="42208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" w:eastAsia="仿宋_GB2312" w:cs="宋体"/>
          <w:color w:val="auto"/>
          <w:kern w:val="0"/>
          <w:highlight w:val="none"/>
        </w:rPr>
      </w:pPr>
      <w:r>
        <w:rPr>
          <w:rFonts w:hint="eastAsia" w:ascii="仿宋_GB2312" w:hAnsi="宋体" w:eastAsia="仿宋_GB2312"/>
          <w:color w:val="auto"/>
          <w:highlight w:val="none"/>
        </w:rPr>
        <w:t>202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6</w:t>
      </w:r>
      <w:r>
        <w:rPr>
          <w:rFonts w:hint="eastAsia" w:ascii="仿宋_GB2312" w:hAnsi="宋体" w:eastAsia="仿宋_GB2312"/>
          <w:color w:val="auto"/>
          <w:highlight w:val="none"/>
        </w:rPr>
        <w:t>年</w:t>
      </w:r>
      <w:r>
        <w:rPr>
          <w:rFonts w:hint="eastAsia" w:ascii="仿宋_GB2312" w:hAnsi="仿宋" w:eastAsia="仿宋_GB2312" w:cs="宋体"/>
          <w:color w:val="auto"/>
          <w:kern w:val="0"/>
          <w:highlight w:val="none"/>
        </w:rPr>
        <w:t>一般公共预算收入预计完成</w:t>
      </w:r>
      <w:r>
        <w:rPr>
          <w:rFonts w:hint="eastAsia" w:ascii="仿宋_GB2312" w:hAnsi="仿宋" w:eastAsia="仿宋_GB2312" w:cs="宋体"/>
          <w:color w:val="auto"/>
          <w:kern w:val="0"/>
          <w:highlight w:val="none"/>
          <w:lang w:val="en-US" w:eastAsia="zh-CN"/>
        </w:rPr>
        <w:t>2</w:t>
      </w:r>
      <w:r>
        <w:rPr>
          <w:rFonts w:hint="eastAsia" w:ascii="仿宋_GB2312" w:hAnsi="仿宋" w:cs="宋体"/>
          <w:color w:val="auto"/>
          <w:kern w:val="0"/>
          <w:highlight w:val="none"/>
          <w:lang w:val="en-US" w:eastAsia="zh-CN"/>
        </w:rPr>
        <w:t>75</w:t>
      </w:r>
      <w:r>
        <w:rPr>
          <w:rFonts w:hint="eastAsia" w:ascii="仿宋_GB2312" w:hAnsi="仿宋" w:eastAsia="仿宋_GB2312" w:cs="宋体"/>
          <w:color w:val="auto"/>
          <w:kern w:val="0"/>
          <w:highlight w:val="none"/>
          <w:lang w:val="en-US" w:eastAsia="zh-CN"/>
        </w:rPr>
        <w:t>,</w:t>
      </w:r>
      <w:r>
        <w:rPr>
          <w:rFonts w:hint="eastAsia" w:ascii="仿宋_GB2312" w:hAnsi="仿宋" w:cs="宋体"/>
          <w:color w:val="auto"/>
          <w:kern w:val="0"/>
          <w:highlight w:val="none"/>
          <w:lang w:val="en-US" w:eastAsia="zh-CN"/>
        </w:rPr>
        <w:t>160</w:t>
      </w:r>
      <w:r>
        <w:rPr>
          <w:rFonts w:hint="eastAsia" w:ascii="仿宋_GB2312" w:hAnsi="仿宋" w:eastAsia="仿宋_GB2312" w:cs="宋体"/>
          <w:color w:val="auto"/>
          <w:kern w:val="0"/>
          <w:highlight w:val="none"/>
        </w:rPr>
        <w:t>万元</w:t>
      </w:r>
      <w:r>
        <w:rPr>
          <w:rFonts w:hint="eastAsia" w:ascii="仿宋_GB2312" w:hAnsi="仿宋" w:eastAsia="仿宋_GB2312" w:cs="宋体"/>
          <w:color w:val="auto"/>
          <w:kern w:val="0"/>
          <w:highlight w:val="none"/>
          <w:lang w:eastAsia="zh-CN"/>
        </w:rPr>
        <w:t>，比上年执行数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增长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0.</w:t>
      </w:r>
      <w:r>
        <w:rPr>
          <w:rFonts w:hint="eastAsia" w:ascii="仿宋_GB2312" w:hAnsi="仿宋" w:cs="宋体"/>
          <w:color w:val="auto"/>
          <w:kern w:val="0"/>
          <w:highlight w:val="none"/>
          <w:lang w:val="en-US" w:eastAsia="zh-CN"/>
        </w:rPr>
        <w:t>5</w:t>
      </w:r>
      <w:r>
        <w:rPr>
          <w:rFonts w:hint="eastAsia" w:ascii="仿宋_GB2312" w:hAnsi="仿宋" w:eastAsia="仿宋_GB2312" w:cs="宋体"/>
          <w:color w:val="auto"/>
          <w:kern w:val="0"/>
          <w:highlight w:val="none"/>
          <w:lang w:val="en-US" w:eastAsia="zh-CN"/>
        </w:rPr>
        <w:t>%</w:t>
      </w:r>
      <w:r>
        <w:rPr>
          <w:rFonts w:hint="eastAsia" w:ascii="仿宋_GB2312" w:hAnsi="仿宋" w:eastAsia="仿宋_GB2312" w:cs="宋体"/>
          <w:color w:val="auto"/>
          <w:kern w:val="0"/>
          <w:highlight w:val="none"/>
        </w:rPr>
        <w:t>。</w:t>
      </w:r>
    </w:p>
    <w:p w14:paraId="03D94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宋体" w:eastAsia="仿宋_GB2312"/>
          <w:color w:val="auto"/>
          <w:highlight w:val="none"/>
        </w:rPr>
      </w:pPr>
      <w:r>
        <w:rPr>
          <w:rFonts w:hint="eastAsia" w:ascii="仿宋_GB2312" w:hAnsi="宋体" w:eastAsia="仿宋_GB2312"/>
          <w:bCs/>
          <w:color w:val="auto"/>
          <w:highlight w:val="none"/>
        </w:rPr>
        <w:t>一般公共预算收入</w:t>
      </w:r>
      <w:r>
        <w:rPr>
          <w:rFonts w:hint="eastAsia" w:ascii="仿宋_GB2312" w:hAnsi="宋体" w:eastAsia="仿宋_GB2312"/>
          <w:color w:val="auto"/>
          <w:highlight w:val="none"/>
        </w:rPr>
        <w:t>主要预计情况是：</w:t>
      </w:r>
      <w:r>
        <w:rPr>
          <w:rFonts w:hint="eastAsia" w:ascii="仿宋_GB2312" w:hAnsi="宋体" w:eastAsia="仿宋_GB2312"/>
          <w:bCs/>
          <w:color w:val="auto"/>
          <w:highlight w:val="none"/>
        </w:rPr>
        <w:t>税收收入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225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,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160</w:t>
      </w:r>
      <w:r>
        <w:rPr>
          <w:rFonts w:hint="eastAsia" w:ascii="仿宋_GB2312" w:hAnsi="宋体" w:eastAsia="仿宋_GB2312"/>
          <w:bCs/>
          <w:color w:val="auto"/>
          <w:highlight w:val="none"/>
        </w:rPr>
        <w:t>万元</w:t>
      </w:r>
      <w:r>
        <w:rPr>
          <w:rFonts w:hint="eastAsia" w:ascii="仿宋_GB2312" w:hAnsi="宋体" w:eastAsia="仿宋_GB2312"/>
          <w:color w:val="auto"/>
          <w:highlight w:val="none"/>
        </w:rPr>
        <w:t>，其中：增值税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91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,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860</w:t>
      </w:r>
      <w:r>
        <w:rPr>
          <w:rFonts w:hint="eastAsia" w:ascii="仿宋_GB2312" w:hAnsi="宋体" w:eastAsia="仿宋_GB2312"/>
          <w:color w:val="auto"/>
          <w:highlight w:val="none"/>
        </w:rPr>
        <w:t>万元、企业所得税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11,000</w:t>
      </w:r>
      <w:r>
        <w:rPr>
          <w:rFonts w:hint="eastAsia" w:ascii="仿宋_GB2312" w:hAnsi="宋体" w:eastAsia="仿宋_GB2312"/>
          <w:color w:val="auto"/>
          <w:highlight w:val="none"/>
        </w:rPr>
        <w:t>万元、个人所得税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8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2,000</w:t>
      </w:r>
      <w:r>
        <w:rPr>
          <w:rFonts w:hint="eastAsia" w:ascii="仿宋_GB2312" w:hAnsi="宋体" w:eastAsia="仿宋_GB2312"/>
          <w:color w:val="auto"/>
          <w:highlight w:val="none"/>
        </w:rPr>
        <w:t>万元、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资源税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90万元、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城市维护建设税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13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,910万元、房产税5,800万元、印花税2,500万元、城镇土地使用税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6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,600万元、土地增值税5,065万元、车船税900万元、耕地占用税500万元、契税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4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,900万元、环境保护税35万元</w:t>
      </w:r>
      <w:r>
        <w:rPr>
          <w:rFonts w:hint="eastAsia" w:ascii="仿宋_GB2312" w:hAnsi="宋体" w:eastAsia="仿宋_GB2312"/>
          <w:color w:val="auto"/>
          <w:highlight w:val="none"/>
        </w:rPr>
        <w:t>。</w:t>
      </w:r>
      <w:r>
        <w:rPr>
          <w:rFonts w:hint="eastAsia" w:ascii="仿宋_GB2312" w:hAnsi="宋体" w:eastAsia="仿宋_GB2312"/>
          <w:bCs/>
          <w:color w:val="auto"/>
          <w:highlight w:val="none"/>
        </w:rPr>
        <w:t>非税收入</w:t>
      </w:r>
      <w:r>
        <w:rPr>
          <w:rFonts w:hint="eastAsia" w:ascii="仿宋_GB2312" w:hAnsi="宋体" w:eastAsia="仿宋_GB2312"/>
          <w:bCs/>
          <w:color w:val="auto"/>
          <w:highlight w:val="none"/>
          <w:lang w:val="en-US" w:eastAsia="zh-CN"/>
        </w:rPr>
        <w:t>5</w:t>
      </w:r>
      <w:r>
        <w:rPr>
          <w:rFonts w:hint="eastAsia" w:ascii="仿宋_GB2312" w:hAnsi="宋体" w:eastAsia="仿宋_GB2312"/>
          <w:bCs/>
          <w:color w:val="auto"/>
          <w:highlight w:val="none"/>
        </w:rPr>
        <w:t>0,000万元，</w:t>
      </w:r>
      <w:r>
        <w:rPr>
          <w:rFonts w:hint="eastAsia" w:ascii="仿宋_GB2312" w:hAnsi="宋体" w:eastAsia="仿宋_GB2312"/>
          <w:color w:val="auto"/>
          <w:highlight w:val="none"/>
        </w:rPr>
        <w:t>其中：国有资源（资产）有偿使用收入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22,150</w:t>
      </w:r>
      <w:r>
        <w:rPr>
          <w:rFonts w:hint="eastAsia" w:ascii="仿宋_GB2312" w:hAnsi="宋体" w:eastAsia="仿宋_GB2312"/>
          <w:color w:val="auto"/>
          <w:highlight w:val="none"/>
        </w:rPr>
        <w:t>万元、国有资本经营收入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13,000</w:t>
      </w:r>
      <w:r>
        <w:rPr>
          <w:rFonts w:hint="eastAsia" w:ascii="仿宋_GB2312" w:hAnsi="宋体" w:eastAsia="仿宋_GB2312"/>
          <w:color w:val="auto"/>
          <w:highlight w:val="none"/>
        </w:rPr>
        <w:t>万元、行政事业性收费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收入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2,050</w:t>
      </w:r>
      <w:r>
        <w:rPr>
          <w:rFonts w:hint="eastAsia" w:ascii="仿宋_GB2312" w:hAnsi="宋体" w:eastAsia="仿宋_GB2312"/>
          <w:color w:val="auto"/>
          <w:highlight w:val="none"/>
        </w:rPr>
        <w:t>万元、罚没收入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6,200</w:t>
      </w:r>
      <w:r>
        <w:rPr>
          <w:rFonts w:hint="eastAsia" w:ascii="仿宋_GB2312" w:hAnsi="宋体" w:eastAsia="仿宋_GB2312"/>
          <w:color w:val="auto"/>
          <w:highlight w:val="none"/>
        </w:rPr>
        <w:t>万元、专项收入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6,500</w:t>
      </w:r>
      <w:r>
        <w:rPr>
          <w:rFonts w:hint="eastAsia" w:ascii="仿宋_GB2312" w:hAnsi="宋体" w:eastAsia="仿宋_GB2312"/>
          <w:color w:val="auto"/>
          <w:highlight w:val="none"/>
        </w:rPr>
        <w:t>万元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、政府住房基金收入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100万元</w:t>
      </w:r>
      <w:r>
        <w:rPr>
          <w:rFonts w:hint="eastAsia" w:ascii="仿宋_GB2312" w:hAnsi="宋体" w:eastAsia="仿宋_GB2312"/>
          <w:color w:val="auto"/>
          <w:highlight w:val="none"/>
        </w:rPr>
        <w:t>。</w:t>
      </w:r>
    </w:p>
    <w:p w14:paraId="6230C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仿宋_GB2312" w:hAnsi="宋体" w:eastAsia="仿宋_GB2312"/>
          <w:b/>
          <w:color w:val="auto"/>
          <w:highlight w:val="none"/>
        </w:rPr>
      </w:pPr>
      <w:r>
        <w:rPr>
          <w:rFonts w:hint="eastAsia" w:ascii="仿宋_GB2312" w:hAnsi="宋体" w:eastAsia="仿宋_GB2312"/>
          <w:b/>
          <w:color w:val="auto"/>
          <w:highlight w:val="none"/>
        </w:rPr>
        <w:t>2.一般公共预算支出安排情况</w:t>
      </w:r>
    </w:p>
    <w:p w14:paraId="46FEC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Times New Roman"/>
          <w:color w:val="auto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highlight w:val="none"/>
        </w:rPr>
        <w:t>202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6</w:t>
      </w:r>
      <w:r>
        <w:rPr>
          <w:rFonts w:hint="eastAsia" w:ascii="仿宋_GB2312" w:hAnsi="宋体" w:eastAsia="仿宋_GB2312"/>
          <w:color w:val="auto"/>
          <w:highlight w:val="none"/>
        </w:rPr>
        <w:t>年一般公共预算收入</w:t>
      </w:r>
      <w:r>
        <w:rPr>
          <w:rFonts w:hint="eastAsia" w:ascii="仿宋_GB2312" w:hAnsi="仿宋" w:eastAsia="仿宋_GB2312" w:cs="宋体"/>
          <w:color w:val="auto"/>
          <w:kern w:val="0"/>
          <w:highlight w:val="none"/>
          <w:lang w:val="en-US" w:eastAsia="zh-CN"/>
        </w:rPr>
        <w:t>2</w:t>
      </w:r>
      <w:r>
        <w:rPr>
          <w:rFonts w:hint="eastAsia" w:ascii="仿宋_GB2312" w:hAnsi="仿宋" w:cs="宋体"/>
          <w:color w:val="auto"/>
          <w:kern w:val="0"/>
          <w:highlight w:val="none"/>
          <w:lang w:val="en-US" w:eastAsia="zh-CN"/>
        </w:rPr>
        <w:t>75</w:t>
      </w:r>
      <w:r>
        <w:rPr>
          <w:rFonts w:hint="eastAsia" w:ascii="仿宋_GB2312" w:hAnsi="仿宋" w:eastAsia="仿宋_GB2312" w:cs="宋体"/>
          <w:color w:val="auto"/>
          <w:kern w:val="0"/>
          <w:highlight w:val="none"/>
          <w:lang w:val="en-US" w:eastAsia="zh-CN"/>
        </w:rPr>
        <w:t>,</w:t>
      </w:r>
      <w:r>
        <w:rPr>
          <w:rFonts w:hint="eastAsia" w:ascii="仿宋_GB2312" w:hAnsi="仿宋" w:cs="宋体"/>
          <w:color w:val="auto"/>
          <w:kern w:val="0"/>
          <w:highlight w:val="none"/>
          <w:lang w:val="en-US" w:eastAsia="zh-CN"/>
        </w:rPr>
        <w:t>160</w:t>
      </w:r>
      <w:r>
        <w:rPr>
          <w:rFonts w:hint="eastAsia" w:ascii="仿宋_GB2312" w:hAnsi="宋体" w:eastAsia="仿宋_GB2312"/>
          <w:color w:val="auto"/>
          <w:highlight w:val="none"/>
        </w:rPr>
        <w:t>万元，加上上级补助收入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60,098</w:t>
      </w:r>
      <w:r>
        <w:rPr>
          <w:rFonts w:hint="eastAsia" w:ascii="仿宋_GB2312" w:hAnsi="宋体" w:eastAsia="仿宋_GB2312"/>
          <w:color w:val="auto"/>
          <w:highlight w:val="none"/>
        </w:rPr>
        <w:t>万元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，</w:t>
      </w:r>
      <w:r>
        <w:rPr>
          <w:rFonts w:hint="eastAsia" w:ascii="仿宋_GB2312" w:hAnsi="宋体" w:eastAsia="仿宋_GB2312"/>
          <w:color w:val="auto"/>
          <w:highlight w:val="none"/>
        </w:rPr>
        <w:t>地方政府一般债务转贷收入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13,583</w:t>
      </w:r>
      <w:r>
        <w:rPr>
          <w:rFonts w:hint="eastAsia" w:ascii="仿宋_GB2312" w:hAnsi="宋体" w:eastAsia="仿宋_GB2312"/>
          <w:color w:val="auto"/>
          <w:highlight w:val="none"/>
        </w:rPr>
        <w:t>万元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，调入资金18,000</w:t>
      </w:r>
      <w:r>
        <w:rPr>
          <w:rFonts w:hint="eastAsia" w:ascii="仿宋_GB2312" w:hAnsi="宋体" w:eastAsia="仿宋_GB2312"/>
          <w:color w:val="auto"/>
          <w:highlight w:val="none"/>
        </w:rPr>
        <w:t>万元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，</w:t>
      </w:r>
      <w:r>
        <w:rPr>
          <w:rFonts w:hint="eastAsia" w:ascii="仿宋_GB2312" w:hAnsi="宋体" w:eastAsia="仿宋_GB2312"/>
          <w:color w:val="auto"/>
          <w:highlight w:val="none"/>
        </w:rPr>
        <w:t>动用预算稳定调节基金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21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,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175</w:t>
      </w:r>
      <w:r>
        <w:rPr>
          <w:rFonts w:hint="eastAsia" w:ascii="仿宋_GB2312" w:hAnsi="宋体" w:eastAsia="仿宋_GB2312"/>
          <w:color w:val="auto"/>
          <w:highlight w:val="none"/>
        </w:rPr>
        <w:t>万元及上年结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余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3,600</w:t>
      </w:r>
      <w:r>
        <w:rPr>
          <w:rFonts w:hint="eastAsia" w:ascii="仿宋_GB2312" w:hAnsi="宋体" w:eastAsia="仿宋_GB2312"/>
          <w:color w:val="auto"/>
          <w:highlight w:val="none"/>
        </w:rPr>
        <w:t>万元，减去预计上解支出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17,300</w:t>
      </w:r>
      <w:r>
        <w:rPr>
          <w:rFonts w:hint="eastAsia" w:ascii="仿宋_GB2312" w:hAnsi="宋体" w:eastAsia="仿宋_GB2312"/>
          <w:color w:val="auto"/>
          <w:highlight w:val="none"/>
        </w:rPr>
        <w:t>万元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highlight w:val="none"/>
        </w:rPr>
        <w:t>地方政府一般债务还本支出</w:t>
      </w:r>
      <w:r>
        <w:rPr>
          <w:rFonts w:hint="eastAsia" w:ascii="仿宋_GB2312" w:eastAsia="仿宋_GB2312"/>
          <w:color w:val="auto"/>
          <w:highlight w:val="none"/>
          <w:lang w:val="en-US" w:eastAsia="zh-CN"/>
        </w:rPr>
        <w:t>15,844</w:t>
      </w:r>
      <w:r>
        <w:rPr>
          <w:rFonts w:hint="eastAsia" w:ascii="仿宋_GB2312" w:eastAsia="仿宋_GB2312"/>
          <w:color w:val="auto"/>
          <w:highlight w:val="none"/>
        </w:rPr>
        <w:t>万元</w:t>
      </w:r>
      <w:r>
        <w:rPr>
          <w:rFonts w:hint="eastAsia" w:ascii="仿宋_GB2312" w:hAnsi="宋体" w:eastAsia="仿宋_GB2312"/>
          <w:color w:val="auto"/>
          <w:highlight w:val="none"/>
        </w:rPr>
        <w:t>，预算财力为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358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,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472</w:t>
      </w:r>
      <w:r>
        <w:rPr>
          <w:rFonts w:hint="eastAsia" w:ascii="仿宋_GB2312" w:hAnsi="宋体" w:eastAsia="仿宋_GB2312"/>
          <w:color w:val="auto"/>
          <w:highlight w:val="none"/>
        </w:rPr>
        <w:t>万元。预计结余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3,8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4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6</w:t>
      </w:r>
      <w:r>
        <w:rPr>
          <w:rFonts w:hint="eastAsia" w:ascii="仿宋_GB2312" w:hAnsi="宋体" w:eastAsia="仿宋_GB2312"/>
          <w:color w:val="auto"/>
          <w:highlight w:val="none"/>
        </w:rPr>
        <w:t>万元，预计安排预算稳定调节基金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10</w:t>
      </w:r>
      <w:r>
        <w:rPr>
          <w:rFonts w:hint="eastAsia" w:ascii="仿宋_GB2312" w:hAnsi="宋体" w:eastAsia="仿宋_GB2312"/>
          <w:color w:val="auto"/>
          <w:highlight w:val="none"/>
        </w:rPr>
        <w:t>,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491</w:t>
      </w:r>
      <w:r>
        <w:rPr>
          <w:rFonts w:hint="eastAsia" w:ascii="仿宋_GB2312" w:hAnsi="宋体" w:eastAsia="仿宋_GB2312"/>
          <w:color w:val="auto"/>
          <w:highlight w:val="none"/>
        </w:rPr>
        <w:t>万元，202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6</w:t>
      </w:r>
      <w:r>
        <w:rPr>
          <w:rFonts w:hint="eastAsia" w:ascii="仿宋_GB2312" w:hAnsi="宋体" w:eastAsia="仿宋_GB2312"/>
          <w:color w:val="auto"/>
          <w:highlight w:val="none"/>
        </w:rPr>
        <w:t>年预算支出预计可安排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344</w:t>
      </w:r>
      <w:r>
        <w:rPr>
          <w:rFonts w:hint="eastAsia" w:ascii="仿宋_GB2312" w:hAnsi="宋体" w:eastAsia="仿宋_GB2312"/>
          <w:color w:val="auto"/>
          <w:highlight w:val="none"/>
        </w:rPr>
        <w:t>,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135</w:t>
      </w:r>
      <w:r>
        <w:rPr>
          <w:rFonts w:hint="eastAsia" w:ascii="仿宋_GB2312" w:hAnsi="宋体" w:eastAsia="仿宋_GB2312"/>
          <w:color w:val="auto"/>
          <w:highlight w:val="none"/>
        </w:rPr>
        <w:t>万元，预算收支平衡。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需要说明的是，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上级转移支付资金只做提前下达部分</w:t>
      </w:r>
      <w:r>
        <w:rPr>
          <w:rFonts w:hint="eastAsia" w:ascii="仿宋_GB2312" w:hAnsi="宋体" w:eastAsia="仿宋_GB2312" w:cs="Times New Roman"/>
          <w:color w:val="auto"/>
          <w:highlight w:val="none"/>
        </w:rPr>
        <w:t>，</w:t>
      </w:r>
      <w:r>
        <w:rPr>
          <w:rFonts w:hint="eastAsia" w:ascii="仿宋_GB2312" w:hAnsi="宋体" w:eastAsia="仿宋_GB2312" w:cs="Times New Roman"/>
          <w:color w:val="auto"/>
          <w:highlight w:val="none"/>
          <w:lang w:eastAsia="zh-CN"/>
        </w:rPr>
        <w:t>未收到的</w:t>
      </w:r>
      <w:r>
        <w:rPr>
          <w:rFonts w:hint="eastAsia" w:ascii="仿宋_GB2312" w:hAnsi="宋体" w:eastAsia="仿宋_GB2312" w:cs="Times New Roman"/>
          <w:color w:val="auto"/>
          <w:highlight w:val="none"/>
        </w:rPr>
        <w:t>暂未列入年初预算。分科目安排如下：</w:t>
      </w:r>
    </w:p>
    <w:p w14:paraId="384F2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highlight w:val="none"/>
        </w:rPr>
      </w:pPr>
      <w:r>
        <w:rPr>
          <w:rFonts w:hint="eastAsia" w:ascii="仿宋_GB2312" w:hAnsi="宋体" w:eastAsia="仿宋_GB2312"/>
          <w:color w:val="auto"/>
          <w:highlight w:val="none"/>
        </w:rPr>
        <w:t>主要支出项目安排情况是：</w:t>
      </w:r>
      <w:r>
        <w:rPr>
          <w:rFonts w:hint="eastAsia" w:ascii="仿宋_GB2312" w:eastAsia="仿宋_GB2312"/>
          <w:color w:val="auto"/>
          <w:highlight w:val="none"/>
        </w:rPr>
        <w:t>一般公共服务支出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25,184</w:t>
      </w:r>
      <w:r>
        <w:rPr>
          <w:rFonts w:hint="eastAsia" w:ascii="仿宋_GB2312" w:eastAsia="仿宋_GB2312"/>
          <w:color w:val="auto"/>
          <w:highlight w:val="none"/>
        </w:rPr>
        <w:t>万元；国防支出</w:t>
      </w:r>
      <w:r>
        <w:rPr>
          <w:rFonts w:hint="eastAsia" w:ascii="仿宋_GB2312" w:eastAsia="仿宋_GB2312"/>
          <w:color w:val="auto"/>
          <w:highlight w:val="none"/>
          <w:lang w:val="en-US" w:eastAsia="zh-CN"/>
        </w:rPr>
        <w:t>223</w:t>
      </w:r>
      <w:r>
        <w:rPr>
          <w:rFonts w:hint="eastAsia" w:ascii="仿宋_GB2312" w:eastAsia="仿宋_GB2312"/>
          <w:color w:val="auto"/>
          <w:highlight w:val="none"/>
        </w:rPr>
        <w:t>万元；公共安全支出</w:t>
      </w:r>
      <w:r>
        <w:rPr>
          <w:rFonts w:hint="eastAsia" w:ascii="仿宋_GB2312" w:eastAsia="仿宋_GB2312"/>
          <w:color w:val="auto"/>
          <w:highlight w:val="none"/>
          <w:lang w:val="en-US" w:eastAsia="zh-CN"/>
        </w:rPr>
        <w:t>8,198</w:t>
      </w:r>
      <w:r>
        <w:rPr>
          <w:rFonts w:hint="eastAsia" w:ascii="仿宋_GB2312" w:eastAsia="仿宋_GB2312"/>
          <w:color w:val="auto"/>
          <w:highlight w:val="none"/>
        </w:rPr>
        <w:t>万元；教育支出</w:t>
      </w:r>
      <w:r>
        <w:rPr>
          <w:rFonts w:hint="eastAsia" w:ascii="仿宋_GB2312" w:eastAsia="仿宋_GB2312"/>
          <w:color w:val="auto"/>
          <w:highlight w:val="none"/>
          <w:lang w:val="en-US" w:eastAsia="zh-CN"/>
        </w:rPr>
        <w:t>73,090</w:t>
      </w:r>
      <w:r>
        <w:rPr>
          <w:rFonts w:hint="eastAsia" w:ascii="仿宋_GB2312" w:eastAsia="仿宋_GB2312"/>
          <w:color w:val="auto"/>
          <w:highlight w:val="none"/>
        </w:rPr>
        <w:t>万元；科学技术支出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20,405</w:t>
      </w:r>
      <w:r>
        <w:rPr>
          <w:rFonts w:hint="eastAsia" w:ascii="仿宋_GB2312" w:eastAsia="仿宋_GB2312"/>
          <w:color w:val="auto"/>
          <w:highlight w:val="none"/>
        </w:rPr>
        <w:t>万元；文化旅游体育与传媒支出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14,940</w:t>
      </w:r>
      <w:r>
        <w:rPr>
          <w:rFonts w:hint="eastAsia" w:ascii="仿宋_GB2312" w:eastAsia="仿宋_GB2312"/>
          <w:color w:val="auto"/>
          <w:highlight w:val="none"/>
        </w:rPr>
        <w:t>万元；社会保障和就业支出</w:t>
      </w:r>
      <w:r>
        <w:rPr>
          <w:rFonts w:hint="eastAsia" w:ascii="仿宋_GB2312" w:eastAsia="仿宋_GB2312"/>
          <w:color w:val="auto"/>
          <w:highlight w:val="none"/>
          <w:lang w:val="en-US" w:eastAsia="zh-CN"/>
        </w:rPr>
        <w:t>19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,200</w:t>
      </w:r>
      <w:r>
        <w:rPr>
          <w:rFonts w:hint="eastAsia" w:ascii="仿宋_GB2312" w:eastAsia="仿宋_GB2312"/>
          <w:color w:val="auto"/>
          <w:highlight w:val="none"/>
        </w:rPr>
        <w:t>万元；卫生健康支出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12,714</w:t>
      </w:r>
      <w:r>
        <w:rPr>
          <w:rFonts w:hint="eastAsia" w:ascii="仿宋_GB2312" w:eastAsia="仿宋_GB2312"/>
          <w:color w:val="auto"/>
          <w:highlight w:val="none"/>
        </w:rPr>
        <w:t>万元；节能环保支出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21,555</w:t>
      </w:r>
      <w:r>
        <w:rPr>
          <w:rFonts w:hint="eastAsia" w:ascii="仿宋_GB2312" w:eastAsia="仿宋_GB2312"/>
          <w:color w:val="auto"/>
          <w:highlight w:val="none"/>
        </w:rPr>
        <w:t>万元；城乡社区支出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95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,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394</w:t>
      </w:r>
      <w:r>
        <w:rPr>
          <w:rFonts w:hint="eastAsia" w:ascii="仿宋_GB2312" w:eastAsia="仿宋_GB2312"/>
          <w:color w:val="auto"/>
          <w:highlight w:val="none"/>
        </w:rPr>
        <w:t>万元；农林水支出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27,148</w:t>
      </w:r>
      <w:r>
        <w:rPr>
          <w:rFonts w:hint="eastAsia" w:ascii="仿宋_GB2312" w:eastAsia="仿宋_GB2312"/>
          <w:color w:val="auto"/>
          <w:highlight w:val="none"/>
        </w:rPr>
        <w:t>万元；交通运输支出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1,695</w:t>
      </w:r>
      <w:r>
        <w:rPr>
          <w:rFonts w:hint="eastAsia" w:ascii="仿宋_GB2312" w:eastAsia="仿宋_GB2312"/>
          <w:color w:val="auto"/>
          <w:highlight w:val="none"/>
        </w:rPr>
        <w:t>万元；资源勘探信息等支出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4,102</w:t>
      </w:r>
      <w:r>
        <w:rPr>
          <w:rFonts w:hint="eastAsia" w:ascii="仿宋_GB2312" w:eastAsia="仿宋_GB2312"/>
          <w:color w:val="auto"/>
          <w:highlight w:val="none"/>
        </w:rPr>
        <w:t>万元；商业服务业支出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882</w:t>
      </w:r>
      <w:r>
        <w:rPr>
          <w:rFonts w:hint="eastAsia" w:ascii="仿宋_GB2312" w:eastAsia="仿宋_GB2312"/>
          <w:color w:val="auto"/>
          <w:highlight w:val="none"/>
        </w:rPr>
        <w:t>万元；自然资源海洋气象等支出</w:t>
      </w:r>
      <w:r>
        <w:rPr>
          <w:rFonts w:hint="eastAsia" w:ascii="仿宋_GB2312" w:eastAsia="仿宋_GB2312"/>
          <w:color w:val="auto"/>
          <w:highlight w:val="none"/>
          <w:lang w:val="en-US" w:eastAsia="zh-CN"/>
        </w:rPr>
        <w:t>2,729</w:t>
      </w:r>
      <w:r>
        <w:rPr>
          <w:rFonts w:hint="eastAsia" w:ascii="仿宋_GB2312" w:eastAsia="仿宋_GB2312"/>
          <w:color w:val="auto"/>
          <w:highlight w:val="none"/>
        </w:rPr>
        <w:t>万元；住房保障支出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2,576</w:t>
      </w:r>
      <w:r>
        <w:rPr>
          <w:rFonts w:hint="eastAsia" w:ascii="仿宋_GB2312" w:eastAsia="仿宋_GB2312"/>
          <w:color w:val="auto"/>
          <w:highlight w:val="none"/>
        </w:rPr>
        <w:t>万元；粮油物资储备支出</w:t>
      </w:r>
      <w:r>
        <w:rPr>
          <w:rFonts w:hint="eastAsia" w:ascii="仿宋_GB2312" w:eastAsia="仿宋_GB2312"/>
          <w:color w:val="auto"/>
          <w:highlight w:val="none"/>
          <w:lang w:val="en-US" w:eastAsia="zh-CN"/>
        </w:rPr>
        <w:t>162</w:t>
      </w:r>
      <w:r>
        <w:rPr>
          <w:rFonts w:hint="eastAsia" w:ascii="仿宋_GB2312" w:eastAsia="仿宋_GB2312"/>
          <w:color w:val="auto"/>
          <w:highlight w:val="none"/>
        </w:rPr>
        <w:t>万元；灾害防治及应急管理支出</w:t>
      </w:r>
      <w:r>
        <w:rPr>
          <w:rFonts w:hint="eastAsia" w:ascii="仿宋_GB2312" w:eastAsia="仿宋_GB2312"/>
          <w:color w:val="auto"/>
          <w:highlight w:val="none"/>
          <w:lang w:val="en-US" w:eastAsia="zh-CN"/>
        </w:rPr>
        <w:t>2,013</w:t>
      </w:r>
      <w:r>
        <w:rPr>
          <w:rFonts w:hint="eastAsia" w:ascii="仿宋_GB2312" w:eastAsia="仿宋_GB2312"/>
          <w:color w:val="auto"/>
          <w:highlight w:val="none"/>
        </w:rPr>
        <w:t>万元；预备费</w:t>
      </w:r>
      <w:r>
        <w:rPr>
          <w:rFonts w:hint="eastAsia" w:ascii="仿宋_GB2312" w:eastAsia="仿宋_GB2312"/>
          <w:color w:val="auto"/>
          <w:highlight w:val="none"/>
          <w:lang w:val="en-US" w:eastAsia="zh-CN"/>
        </w:rPr>
        <w:t>4,000</w:t>
      </w:r>
      <w:r>
        <w:rPr>
          <w:rFonts w:hint="eastAsia" w:ascii="仿宋_GB2312" w:eastAsia="仿宋_GB2312"/>
          <w:color w:val="auto"/>
          <w:highlight w:val="none"/>
        </w:rPr>
        <w:t>万元；</w:t>
      </w:r>
      <w:r>
        <w:rPr>
          <w:rFonts w:hint="eastAsia" w:ascii="仿宋_GB2312" w:eastAsia="仿宋_GB2312"/>
          <w:color w:val="auto"/>
          <w:highlight w:val="none"/>
          <w:lang w:eastAsia="zh-CN"/>
        </w:rPr>
        <w:t>其他支出</w:t>
      </w:r>
      <w:r>
        <w:rPr>
          <w:rFonts w:hint="eastAsia" w:ascii="仿宋_GB2312" w:eastAsia="仿宋_GB2312"/>
          <w:color w:val="auto"/>
          <w:highlight w:val="none"/>
          <w:lang w:val="en-US" w:eastAsia="zh-CN"/>
        </w:rPr>
        <w:t>80万元；</w:t>
      </w:r>
      <w:r>
        <w:rPr>
          <w:rFonts w:hint="eastAsia" w:ascii="仿宋_GB2312" w:eastAsia="仿宋_GB2312"/>
          <w:color w:val="auto"/>
          <w:highlight w:val="none"/>
        </w:rPr>
        <w:t>债务付息支出</w:t>
      </w:r>
      <w:r>
        <w:rPr>
          <w:rFonts w:hint="eastAsia" w:ascii="仿宋_GB2312" w:eastAsia="仿宋_GB2312"/>
          <w:color w:val="auto"/>
          <w:highlight w:val="none"/>
          <w:lang w:val="en-US" w:eastAsia="zh-CN"/>
        </w:rPr>
        <w:t>7,800</w:t>
      </w:r>
      <w:r>
        <w:rPr>
          <w:rFonts w:hint="eastAsia" w:ascii="仿宋_GB2312" w:eastAsia="仿宋_GB2312"/>
          <w:color w:val="auto"/>
          <w:highlight w:val="none"/>
        </w:rPr>
        <w:t>万元；债务发行费用支出</w:t>
      </w:r>
      <w:r>
        <w:rPr>
          <w:rFonts w:hint="eastAsia" w:ascii="仿宋_GB2312" w:eastAsia="仿宋_GB2312"/>
          <w:color w:val="auto"/>
          <w:highlight w:val="none"/>
          <w:lang w:val="en-US" w:eastAsia="zh-CN"/>
        </w:rPr>
        <w:t>45</w:t>
      </w:r>
      <w:r>
        <w:rPr>
          <w:rFonts w:hint="eastAsia" w:ascii="仿宋_GB2312" w:eastAsia="仿宋_GB2312"/>
          <w:color w:val="auto"/>
          <w:highlight w:val="none"/>
        </w:rPr>
        <w:t>万元。</w:t>
      </w:r>
    </w:p>
    <w:p w14:paraId="1EA13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楷体_GB2312" w:hAnsi="宋体" w:eastAsia="楷体_GB2312"/>
          <w:b/>
          <w:color w:val="auto"/>
          <w:highlight w:val="none"/>
        </w:rPr>
      </w:pPr>
      <w:r>
        <w:rPr>
          <w:rFonts w:hint="eastAsia" w:ascii="楷体_GB2312" w:hAnsi="宋体" w:eastAsia="楷体_GB2312"/>
          <w:b/>
          <w:color w:val="auto"/>
          <w:highlight w:val="none"/>
        </w:rPr>
        <w:t>（二）政府性基金预算收支安排情况</w:t>
      </w:r>
    </w:p>
    <w:p w14:paraId="4ECFD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宋体" w:eastAsia="仿宋_GB2312"/>
          <w:color w:val="auto"/>
          <w:highlight w:val="none"/>
        </w:rPr>
      </w:pP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2026年政府性基金预算收入预计完成138,600万元，其中：国有土地使用权出让收入120,000万元、彩票公益金收入400万元、城市基础设施配套费收入200万元、污水处理费收入1,000万元，其他政府性基金相关收入17,000万元</w:t>
      </w:r>
      <w:r>
        <w:rPr>
          <w:rFonts w:hint="eastAsia" w:ascii="仿宋_GB2312" w:hAnsi="宋体" w:eastAsia="仿宋_GB2312"/>
          <w:color w:val="auto"/>
          <w:highlight w:val="none"/>
        </w:rPr>
        <w:t>。</w:t>
      </w:r>
    </w:p>
    <w:p w14:paraId="60AF0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color w:val="auto"/>
          <w:highlight w:val="none"/>
        </w:rPr>
      </w:pPr>
      <w:r>
        <w:rPr>
          <w:rFonts w:hint="eastAsia" w:ascii="仿宋_GB2312" w:hAnsi="宋体" w:eastAsia="仿宋_GB2312"/>
          <w:color w:val="auto"/>
          <w:highlight w:val="none"/>
        </w:rPr>
        <w:t>上述政府性基金预算收入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138,600</w:t>
      </w:r>
      <w:r>
        <w:rPr>
          <w:rFonts w:hint="eastAsia" w:ascii="仿宋_GB2312" w:hAnsi="宋体" w:eastAsia="仿宋_GB2312"/>
          <w:color w:val="auto"/>
          <w:highlight w:val="none"/>
        </w:rPr>
        <w:t>万元，加上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提前下达上级转移支付收入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230</w:t>
      </w:r>
      <w:r>
        <w:rPr>
          <w:rFonts w:hint="eastAsia" w:ascii="仿宋_GB2312" w:hAnsi="宋体" w:eastAsia="仿宋_GB2312"/>
          <w:color w:val="auto"/>
          <w:highlight w:val="none"/>
        </w:rPr>
        <w:t>万元、上年结余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23,1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25</w:t>
      </w:r>
      <w:r>
        <w:rPr>
          <w:rFonts w:hint="eastAsia" w:ascii="仿宋_GB2312" w:hAnsi="宋体" w:eastAsia="仿宋_GB2312"/>
          <w:color w:val="auto"/>
          <w:highlight w:val="none"/>
        </w:rPr>
        <w:t>万元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、</w:t>
      </w:r>
      <w:r>
        <w:rPr>
          <w:rFonts w:hint="eastAsia" w:ascii="仿宋_GB2312" w:hAnsi="宋体" w:eastAsia="仿宋_GB2312"/>
          <w:color w:val="auto"/>
          <w:highlight w:val="none"/>
        </w:rPr>
        <w:t>地方政府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专项</w:t>
      </w:r>
      <w:r>
        <w:rPr>
          <w:rFonts w:hint="eastAsia" w:ascii="仿宋_GB2312" w:hAnsi="宋体" w:eastAsia="仿宋_GB2312"/>
          <w:color w:val="auto"/>
          <w:highlight w:val="none"/>
        </w:rPr>
        <w:t>债务转贷收入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10,480万元</w:t>
      </w:r>
      <w:r>
        <w:rPr>
          <w:rFonts w:hint="eastAsia" w:ascii="仿宋_GB2312" w:hAnsi="宋体" w:eastAsia="仿宋_GB2312"/>
          <w:color w:val="auto"/>
          <w:highlight w:val="none"/>
        </w:rPr>
        <w:t>，减去上解支出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2,420</w:t>
      </w:r>
      <w:r>
        <w:rPr>
          <w:rFonts w:hint="eastAsia" w:ascii="仿宋_GB2312" w:hAnsi="宋体" w:eastAsia="仿宋_GB2312"/>
          <w:color w:val="auto"/>
          <w:highlight w:val="none"/>
        </w:rPr>
        <w:t>万元及地方政府专项债务还本支出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11,024</w:t>
      </w:r>
      <w:r>
        <w:rPr>
          <w:rFonts w:hint="eastAsia" w:ascii="仿宋_GB2312" w:hAnsi="宋体" w:eastAsia="仿宋_GB2312"/>
          <w:color w:val="auto"/>
          <w:highlight w:val="none"/>
        </w:rPr>
        <w:t>万元，预算财力为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158,9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91</w:t>
      </w:r>
      <w:r>
        <w:rPr>
          <w:rFonts w:hint="eastAsia" w:ascii="仿宋_GB2312" w:hAnsi="宋体" w:eastAsia="仿宋_GB2312"/>
          <w:color w:val="auto"/>
          <w:highlight w:val="none"/>
        </w:rPr>
        <w:t>万元。预计结余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3,5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33</w:t>
      </w:r>
      <w:r>
        <w:rPr>
          <w:rFonts w:hint="eastAsia" w:ascii="仿宋_GB2312" w:hAnsi="宋体" w:eastAsia="仿宋_GB2312"/>
          <w:color w:val="auto"/>
          <w:highlight w:val="none"/>
        </w:rPr>
        <w:t>万元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，</w:t>
      </w:r>
      <w:r>
        <w:rPr>
          <w:rFonts w:hint="eastAsia" w:ascii="仿宋_GB2312" w:hAnsi="宋体" w:eastAsia="仿宋_GB2312"/>
          <w:color w:val="auto"/>
          <w:highlight w:val="none"/>
        </w:rPr>
        <w:t>202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6</w:t>
      </w:r>
      <w:r>
        <w:rPr>
          <w:rFonts w:hint="eastAsia" w:ascii="仿宋_GB2312" w:hAnsi="宋体" w:eastAsia="仿宋_GB2312"/>
          <w:color w:val="auto"/>
          <w:highlight w:val="none"/>
        </w:rPr>
        <w:t>年预算支出预计可安排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155</w:t>
      </w:r>
      <w:r>
        <w:rPr>
          <w:rFonts w:hint="eastAsia" w:ascii="仿宋_GB2312" w:hAnsi="宋体" w:eastAsia="仿宋_GB2312"/>
          <w:color w:val="auto"/>
          <w:highlight w:val="none"/>
        </w:rPr>
        <w:t>,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4</w:t>
      </w:r>
      <w:r>
        <w:rPr>
          <w:rFonts w:hint="eastAsia" w:ascii="仿宋_GB2312" w:hAnsi="宋体"/>
          <w:color w:val="auto"/>
          <w:highlight w:val="none"/>
          <w:lang w:val="en-US" w:eastAsia="zh-CN"/>
        </w:rPr>
        <w:t>58</w:t>
      </w:r>
      <w:r>
        <w:rPr>
          <w:rFonts w:hint="eastAsia" w:ascii="仿宋_GB2312" w:hAnsi="宋体" w:eastAsia="仿宋_GB2312"/>
          <w:color w:val="auto"/>
          <w:highlight w:val="none"/>
        </w:rPr>
        <w:t>万元，预算收支平衡。</w:t>
      </w:r>
    </w:p>
    <w:p w14:paraId="4FF89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color w:val="auto"/>
          <w:highlight w:val="none"/>
        </w:rPr>
      </w:pPr>
      <w:r>
        <w:rPr>
          <w:rFonts w:hint="eastAsia" w:ascii="仿宋_GB2312" w:hAnsi="宋体" w:eastAsia="仿宋_GB2312"/>
          <w:color w:val="auto"/>
          <w:highlight w:val="none"/>
        </w:rPr>
        <w:t>主要支出项目安排情况是：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文化旅游体育与传媒支出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20万元；</w:t>
      </w:r>
      <w:r>
        <w:rPr>
          <w:rFonts w:hint="eastAsia" w:ascii="仿宋_GB2312" w:hAnsi="宋体" w:eastAsia="仿宋_GB2312"/>
          <w:color w:val="auto"/>
          <w:highlight w:val="none"/>
        </w:rPr>
        <w:t>城乡社区支出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129,436</w:t>
      </w:r>
      <w:r>
        <w:rPr>
          <w:rFonts w:hint="eastAsia" w:ascii="仿宋_GB2312" w:hAnsi="宋体" w:eastAsia="仿宋_GB2312"/>
          <w:color w:val="auto"/>
          <w:highlight w:val="none"/>
        </w:rPr>
        <w:t>万元；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农林水支出1,200万元；交通运输支出600万元</w:t>
      </w:r>
      <w:r>
        <w:rPr>
          <w:rFonts w:hint="eastAsia" w:ascii="仿宋_GB2312" w:hAnsi="宋体" w:eastAsia="仿宋_GB2312"/>
          <w:color w:val="auto"/>
          <w:highlight w:val="none"/>
        </w:rPr>
        <w:t>；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资源勘探工业信息等支出2,100万元；住房保障支出110万元；</w:t>
      </w:r>
      <w:r>
        <w:rPr>
          <w:rFonts w:hint="eastAsia" w:ascii="仿宋_GB2312" w:hAnsi="宋体" w:eastAsia="仿宋_GB2312"/>
          <w:color w:val="auto"/>
          <w:highlight w:val="none"/>
        </w:rPr>
        <w:t>其他支出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600</w:t>
      </w:r>
      <w:r>
        <w:rPr>
          <w:rFonts w:hint="eastAsia" w:ascii="仿宋_GB2312" w:hAnsi="宋体" w:eastAsia="仿宋_GB2312"/>
          <w:color w:val="auto"/>
          <w:highlight w:val="none"/>
        </w:rPr>
        <w:t>万元；债务付息支出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21,267</w:t>
      </w:r>
      <w:r>
        <w:rPr>
          <w:rFonts w:hint="eastAsia" w:ascii="仿宋_GB2312" w:hAnsi="宋体" w:eastAsia="仿宋_GB2312"/>
          <w:color w:val="auto"/>
          <w:highlight w:val="none"/>
        </w:rPr>
        <w:t>万元；债务发行费用支出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125</w:t>
      </w:r>
      <w:r>
        <w:rPr>
          <w:rFonts w:hint="eastAsia" w:ascii="仿宋_GB2312" w:hAnsi="宋体" w:eastAsia="仿宋_GB2312"/>
          <w:color w:val="auto"/>
          <w:highlight w:val="none"/>
        </w:rPr>
        <w:t>万元。</w:t>
      </w:r>
    </w:p>
    <w:p w14:paraId="7C105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楷体_GB2312" w:hAnsi="宋体" w:eastAsia="楷体_GB2312"/>
          <w:b/>
          <w:color w:val="auto"/>
          <w:highlight w:val="none"/>
        </w:rPr>
      </w:pPr>
      <w:r>
        <w:rPr>
          <w:rFonts w:hint="eastAsia" w:ascii="楷体_GB2312" w:hAnsi="宋体" w:eastAsia="楷体_GB2312"/>
          <w:b/>
          <w:color w:val="auto"/>
          <w:highlight w:val="none"/>
        </w:rPr>
        <w:t>（三）国有资本经营预算收支安排情况</w:t>
      </w:r>
    </w:p>
    <w:p w14:paraId="2D711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2026年我市国有资本经营预算收入预计完成18,000万元，加上上级补助2万元；拟安排18,000万元用于调入一般公共预算，国有资本经营预算支出2万元。</w:t>
      </w:r>
    </w:p>
    <w:p w14:paraId="2AB6C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楷体_GB2312" w:hAnsi="宋体" w:eastAsia="楷体_GB2312"/>
          <w:b/>
          <w:color w:val="auto"/>
          <w:highlight w:val="none"/>
        </w:rPr>
      </w:pPr>
      <w:r>
        <w:rPr>
          <w:rFonts w:hint="eastAsia" w:ascii="楷体_GB2312" w:hAnsi="宋体" w:eastAsia="楷体_GB2312"/>
          <w:b/>
          <w:color w:val="auto"/>
          <w:highlight w:val="none"/>
        </w:rPr>
        <w:t>（四）社会保险基金预算收支安排情况</w:t>
      </w:r>
    </w:p>
    <w:p w14:paraId="503BB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2026年社会保险基金预算收入15,755万元，其中：城乡居民基本养老保险7,023万元，机关事业单位养老保险8,732万元。</w:t>
      </w:r>
    </w:p>
    <w:p w14:paraId="6BE1C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2026年社会保险基金预算支出11,908万元，其中：城乡居民基本养老保险5,022万元，机关事业单位养老保险6,886万元。当年收支结余3,847万元。</w:t>
      </w:r>
    </w:p>
    <w:p w14:paraId="29E18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宋体" w:eastAsia="黑体"/>
          <w:color w:val="auto"/>
          <w:highlight w:val="none"/>
        </w:rPr>
      </w:pPr>
      <w:r>
        <w:rPr>
          <w:rFonts w:hint="eastAsia" w:ascii="黑体" w:hAnsi="宋体" w:eastAsia="黑体"/>
          <w:color w:val="auto"/>
          <w:highlight w:val="none"/>
        </w:rPr>
        <w:t>三、</w:t>
      </w:r>
      <w:r>
        <w:rPr>
          <w:rFonts w:hint="eastAsia" w:ascii="黑体" w:hAnsi="宋体" w:eastAsia="黑体"/>
          <w:color w:val="auto"/>
          <w:highlight w:val="none"/>
          <w:lang w:eastAsia="zh-CN"/>
        </w:rPr>
        <w:t>稳中求进</w:t>
      </w:r>
      <w:r>
        <w:rPr>
          <w:rFonts w:hint="eastAsia" w:ascii="黑体" w:hAnsi="宋体" w:eastAsia="黑体"/>
          <w:color w:val="auto"/>
          <w:highlight w:val="none"/>
        </w:rPr>
        <w:t>，</w:t>
      </w:r>
      <w:r>
        <w:rPr>
          <w:rFonts w:hint="eastAsia" w:ascii="黑体" w:hAnsi="宋体" w:eastAsia="黑体"/>
          <w:color w:val="auto"/>
          <w:highlight w:val="none"/>
          <w:lang w:eastAsia="zh-CN"/>
        </w:rPr>
        <w:t>真抓</w:t>
      </w:r>
      <w:r>
        <w:rPr>
          <w:rFonts w:hint="eastAsia" w:ascii="黑体" w:hAnsi="宋体" w:eastAsia="黑体"/>
          <w:color w:val="auto"/>
          <w:highlight w:val="none"/>
        </w:rPr>
        <w:t>实干，确保完成202</w:t>
      </w:r>
      <w:r>
        <w:rPr>
          <w:rFonts w:hint="eastAsia" w:ascii="黑体" w:hAnsi="宋体" w:eastAsia="黑体"/>
          <w:color w:val="auto"/>
          <w:highlight w:val="none"/>
          <w:lang w:val="en-US" w:eastAsia="zh-CN"/>
        </w:rPr>
        <w:t>6</w:t>
      </w:r>
      <w:r>
        <w:rPr>
          <w:rFonts w:hint="eastAsia" w:ascii="黑体" w:hAnsi="宋体" w:eastAsia="黑体"/>
          <w:color w:val="auto"/>
          <w:highlight w:val="none"/>
        </w:rPr>
        <w:t>年预算任务</w:t>
      </w:r>
    </w:p>
    <w:p w14:paraId="41E08E18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2026年按照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省、九江市、赣江新区和我市市委、市政府的要求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，聚焦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“走在前、勇争先、善作为”的目标要求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坚持稳中求进工作总基调，完整准确全面贯彻新发展理念，全面推进深化改革，围绕中心、服务大局，实施更加积极的财政政策，强化财税体制改革，加强财政科学管理，防范化解重大风险，严肃财经纪律，提高资金使用效益和政策效能，为实现“十五五”良好开局打牢坚实基础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促进全市经济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社会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高质量发展。着重做好以下几方面的工作：</w:t>
      </w:r>
    </w:p>
    <w:p w14:paraId="219F2A2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宋体" w:eastAsia="仿宋_GB2312" w:cs="方正楷体_GBK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楷体_GB2312" w:hAnsi="楷体_GB2312" w:eastAsia="楷体_GB2312" w:cs="楷体_GB2312"/>
          <w:b/>
          <w:bCs/>
          <w:kern w:val="0"/>
          <w:highlight w:val="none"/>
        </w:rPr>
        <w:t>强化收</w:t>
      </w:r>
      <w:r>
        <w:rPr>
          <w:rFonts w:hint="eastAsia" w:ascii="楷体_GB2312" w:hAnsi="楷体_GB2312" w:eastAsia="楷体_GB2312" w:cs="楷体_GB2312"/>
          <w:b/>
          <w:bCs/>
          <w:kern w:val="0"/>
          <w:highlight w:val="none"/>
          <w:lang w:eastAsia="zh-CN"/>
        </w:rPr>
        <w:t>入征管</w:t>
      </w:r>
      <w:r>
        <w:rPr>
          <w:rFonts w:hint="eastAsia" w:ascii="楷体_GB2312" w:hAnsi="楷体_GB2312" w:eastAsia="楷体_GB2312" w:cs="楷体_GB2312"/>
          <w:b/>
          <w:bCs/>
          <w:kern w:val="0"/>
          <w:highlight w:val="none"/>
        </w:rPr>
        <w:t>，</w:t>
      </w:r>
      <w:r>
        <w:rPr>
          <w:rFonts w:hint="eastAsia" w:ascii="楷体_GB2312" w:hAnsi="楷体_GB2312" w:eastAsia="楷体_GB2312" w:cs="楷体_GB2312"/>
          <w:b/>
          <w:bCs/>
          <w:kern w:val="0"/>
          <w:highlight w:val="none"/>
          <w:lang w:eastAsia="zh-CN"/>
        </w:rPr>
        <w:t>全力以赴</w:t>
      </w:r>
      <w:r>
        <w:rPr>
          <w:rFonts w:hint="eastAsia" w:ascii="楷体_GB2312" w:hAnsi="楷体_GB2312" w:eastAsia="楷体_GB2312" w:cs="楷体_GB2312"/>
          <w:b/>
          <w:bCs/>
          <w:kern w:val="0"/>
          <w:highlight w:val="none"/>
        </w:rPr>
        <w:t>聚财源、</w:t>
      </w:r>
      <w:r>
        <w:rPr>
          <w:rFonts w:hint="eastAsia" w:ascii="楷体_GB2312" w:hAnsi="楷体_GB2312" w:eastAsia="楷体_GB2312" w:cs="楷体_GB2312"/>
          <w:b/>
          <w:bCs/>
          <w:kern w:val="0"/>
          <w:highlight w:val="none"/>
          <w:lang w:eastAsia="zh-CN"/>
        </w:rPr>
        <w:t>强保障</w:t>
      </w:r>
      <w:r>
        <w:rPr>
          <w:rFonts w:hint="eastAsia" w:ascii="楷体_GB2312" w:hAnsi="楷体_GB2312" w:eastAsia="楷体_GB2312" w:cs="楷体_GB2312"/>
          <w:b/>
          <w:bCs/>
          <w:kern w:val="0"/>
          <w:highlight w:val="none"/>
        </w:rPr>
        <w:t>。</w:t>
      </w:r>
      <w:r>
        <w:rPr>
          <w:rFonts w:hint="eastAsia" w:ascii="仿宋_GB2312" w:hAnsi="宋体" w:eastAsia="仿宋_GB2312" w:cs="方正楷体_GBK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强化财源建设。</w:t>
      </w:r>
      <w:r>
        <w:rPr>
          <w:rFonts w:hint="eastAsia" w:ascii="仿宋_GB2312" w:hAnsi="宋体" w:eastAsia="仿宋_GB2312" w:cs="方正楷体_GBK"/>
          <w:color w:val="auto"/>
          <w:kern w:val="0"/>
          <w:sz w:val="32"/>
          <w:szCs w:val="32"/>
          <w:highlight w:val="none"/>
          <w:lang w:val="en-US" w:eastAsia="zh-CN" w:bidi="ar-SA"/>
        </w:rPr>
        <w:t>坚持固本兴新，加快建设共青特色的现代化产业，着力培育新的经济增长点，努力形成经济增长、财政增收的良性循环。</w:t>
      </w:r>
      <w:r>
        <w:rPr>
          <w:rFonts w:hint="eastAsia" w:ascii="仿宋_GB2312" w:hAnsi="宋体" w:eastAsia="仿宋_GB2312" w:cs="方正楷体_GBK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强化财税联动。</w:t>
      </w:r>
      <w:r>
        <w:rPr>
          <w:rFonts w:hint="eastAsia" w:ascii="仿宋_GB2312" w:hAnsi="宋体" w:eastAsia="仿宋_GB2312" w:cs="方正楷体_GBK"/>
          <w:color w:val="auto"/>
          <w:kern w:val="0"/>
          <w:sz w:val="32"/>
          <w:szCs w:val="32"/>
          <w:highlight w:val="none"/>
          <w:lang w:val="en-US" w:eastAsia="zh-CN" w:bidi="ar-SA"/>
        </w:rPr>
        <w:t>加强与税务、非税执收部门协调联动，加大重点行业、重点税源企业税收征管，积极拓展增税渠道，做到税收应收尽收、非税应入尽入，确保收入规模合理增长、收入质量稳步提升。</w:t>
      </w:r>
      <w:r>
        <w:rPr>
          <w:rFonts w:hint="eastAsia" w:ascii="仿宋_GB2312" w:hAnsi="宋体" w:eastAsia="仿宋_GB2312" w:cs="方正楷体_GBK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强化争取支持。</w:t>
      </w:r>
      <w:r>
        <w:rPr>
          <w:rFonts w:hint="eastAsia" w:ascii="仿宋_GB2312" w:hAnsi="宋体" w:eastAsia="仿宋_GB2312" w:cs="方正楷体_GBK"/>
          <w:color w:val="auto"/>
          <w:kern w:val="0"/>
          <w:sz w:val="32"/>
          <w:szCs w:val="32"/>
          <w:highlight w:val="none"/>
          <w:lang w:val="en-US" w:eastAsia="zh-CN" w:bidi="ar-SA"/>
        </w:rPr>
        <w:t>抓住中央实施“一揽子增量”政策机遇，多层次、多渠道做好政策对接，积极争取国家超长期特别国债、中央预算内投资、专项债等各类资金，切实增强财政保障能力。</w:t>
      </w:r>
    </w:p>
    <w:p w14:paraId="38A4421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宋体" w:eastAsia="仿宋_GB2312" w:cs="Times New Roman"/>
          <w:color w:val="auto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（二）坚持人民至上，千方百计保民生、兜底线。</w:t>
      </w:r>
      <w:r>
        <w:rPr>
          <w:rFonts w:hint="eastAsia" w:ascii="仿宋_GB2312" w:hAnsi="宋体" w:eastAsia="仿宋_GB2312" w:cs="Times New Roman"/>
          <w:b/>
          <w:bCs/>
          <w:color w:val="auto"/>
          <w:highlight w:val="none"/>
          <w:lang w:val="en-US" w:eastAsia="zh-CN"/>
        </w:rPr>
        <w:t>促进教育事业发展</w:t>
      </w:r>
      <w:r>
        <w:rPr>
          <w:rFonts w:hint="default" w:ascii="仿宋_GB2312" w:hAnsi="宋体" w:eastAsia="仿宋_GB2312" w:cs="Times New Roman"/>
          <w:b/>
          <w:bCs/>
          <w:color w:val="auto"/>
          <w:highlight w:val="none"/>
          <w:lang w:val="en-US" w:eastAsia="zh-CN"/>
        </w:rPr>
        <w:t>。</w:t>
      </w:r>
      <w:r>
        <w:rPr>
          <w:rFonts w:hint="default" w:ascii="仿宋_GB2312" w:hAnsi="宋体" w:eastAsia="仿宋_GB2312" w:cs="Times New Roman"/>
          <w:color w:val="auto"/>
          <w:highlight w:val="none"/>
          <w:lang w:val="en-US" w:eastAsia="zh-CN"/>
        </w:rPr>
        <w:t>切实履行政府投入责任，落实义务教育经费保障机制，着力扩大优质教育资源供给，促进学前教育及义务教育优质均衡发展。</w:t>
      </w:r>
      <w:r>
        <w:rPr>
          <w:rFonts w:hint="default" w:ascii="仿宋_GB2312" w:hAnsi="宋体" w:eastAsia="仿宋_GB2312" w:cs="Times New Roman"/>
          <w:b/>
          <w:bCs/>
          <w:color w:val="auto"/>
          <w:highlight w:val="none"/>
          <w:lang w:val="en-US" w:eastAsia="zh-CN"/>
        </w:rPr>
        <w:t>支持稳定和扩大就业。</w:t>
      </w:r>
      <w:r>
        <w:rPr>
          <w:rFonts w:hint="default" w:ascii="仿宋_GB2312" w:hAnsi="宋体" w:eastAsia="仿宋_GB2312" w:cs="Times New Roman"/>
          <w:color w:val="auto"/>
          <w:highlight w:val="none"/>
          <w:lang w:val="en-US" w:eastAsia="zh-CN"/>
        </w:rPr>
        <w:t>把就业摆在更加重要位置，着力构建全方位、多层次的资金保障体系，突出对高校毕业生、</w:t>
      </w:r>
      <w:r>
        <w:rPr>
          <w:rFonts w:hint="eastAsia" w:ascii="仿宋_GB2312" w:hAnsi="宋体" w:eastAsia="仿宋_GB2312" w:cs="Times New Roman"/>
          <w:color w:val="auto"/>
          <w:highlight w:val="none"/>
          <w:lang w:val="en-US" w:eastAsia="zh-CN"/>
        </w:rPr>
        <w:t>农民工</w:t>
      </w:r>
      <w:r>
        <w:rPr>
          <w:rFonts w:hint="default" w:ascii="仿宋_GB2312" w:hAnsi="宋体" w:eastAsia="仿宋_GB2312" w:cs="Times New Roman"/>
          <w:color w:val="auto"/>
          <w:highlight w:val="none"/>
          <w:lang w:val="en-US" w:eastAsia="zh-CN"/>
        </w:rPr>
        <w:t>、退役军人、城镇困难人员等重点人群就业保障，全力推动各项就业创业扶持政策落地见效。</w:t>
      </w:r>
      <w:r>
        <w:rPr>
          <w:rFonts w:hint="default" w:ascii="仿宋_GB2312" w:hAnsi="宋体" w:eastAsia="仿宋_GB2312" w:cs="Times New Roman"/>
          <w:b/>
          <w:bCs/>
          <w:color w:val="auto"/>
          <w:highlight w:val="none"/>
          <w:lang w:val="en-US" w:eastAsia="zh-CN"/>
        </w:rPr>
        <w:t>提升卫生健康保障水平。</w:t>
      </w:r>
      <w:r>
        <w:rPr>
          <w:rFonts w:hint="default" w:ascii="仿宋_GB2312" w:hAnsi="宋体" w:eastAsia="仿宋_GB2312" w:cs="Times New Roman"/>
          <w:color w:val="auto"/>
          <w:highlight w:val="none"/>
          <w:lang w:val="en-US" w:eastAsia="zh-CN"/>
        </w:rPr>
        <w:t>加大公共卫生服务投入，落实好基本公共卫生服务经费人均财政补助标准，切实保障城乡居民基本医疗保险待遇落实。</w:t>
      </w:r>
      <w:r>
        <w:rPr>
          <w:rFonts w:hint="default" w:ascii="仿宋_GB2312" w:hAnsi="宋体" w:eastAsia="仿宋_GB2312" w:cs="Times New Roman"/>
          <w:b/>
          <w:bCs/>
          <w:color w:val="auto"/>
          <w:highlight w:val="none"/>
          <w:lang w:val="en-US" w:eastAsia="zh-CN"/>
        </w:rPr>
        <w:t>完善多层次社会保障体系。</w:t>
      </w:r>
      <w:r>
        <w:rPr>
          <w:rFonts w:hint="default" w:ascii="仿宋_GB2312" w:hAnsi="宋体" w:eastAsia="仿宋_GB2312" w:cs="Times New Roman"/>
          <w:color w:val="auto"/>
          <w:highlight w:val="none"/>
          <w:lang w:val="en-US" w:eastAsia="zh-CN"/>
        </w:rPr>
        <w:t>加大养老服务保障投入，落实社会救助政策，加强农村低保和乡村振兴政策衔接；支持完善特殊群体社会保障和关爱服务体系，强化弱势群体服务保障。</w:t>
      </w:r>
    </w:p>
    <w:p w14:paraId="398ED8C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（三）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highlight w:val="none"/>
          <w:lang w:val="en-US" w:eastAsia="zh-CN" w:bidi="ar-SA"/>
        </w:rPr>
        <w:t>坚持守正创新，持续发力提绩效、促改革。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1"/>
          <w:szCs w:val="31"/>
          <w:highlight w:val="none"/>
          <w:lang w:val="en-US" w:eastAsia="zh-CN" w:bidi="ar"/>
        </w:rPr>
        <w:t>持续健全预算制度。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>深入推进全口径预算管理，把依托行政权力、国有资源资产获取的收入全部纳入政府预算管理；持续推进预算管理一体化建设，不断提高预算管理信息化水平。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1"/>
          <w:szCs w:val="31"/>
          <w:highlight w:val="none"/>
          <w:lang w:val="en-US" w:eastAsia="zh-CN" w:bidi="ar"/>
        </w:rPr>
        <w:t>深化零基预算改革。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>进一步深化零基预算改革举措，强化财政资源、支出政策、绩效管理三大统筹，打破“基数”的固化观念，构建“该保必保、应省尽省、讲求绩效”的资金管理体制。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1"/>
          <w:szCs w:val="31"/>
          <w:highlight w:val="none"/>
          <w:lang w:val="en-US" w:eastAsia="zh-CN" w:bidi="ar"/>
        </w:rPr>
        <w:t>持续推进乡镇财政管理体制改革。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>坚持财权与事权匹配原则，推进乡镇财政管理体制改革，建立完善激励机制，激发乡镇经济发展活力。</w:t>
      </w:r>
    </w:p>
    <w:p w14:paraId="447D150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（四）积极防范风险，更好统筹谋发展、保安全。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守牢“三保”风险“基线”。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坚持“三保”支出优先顺序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足额保障、不留缺口，不断前移预警关口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动态监测“三保”支出、库款保障水平等关键指标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切实兜牢“三保”底线。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守牢债务风险“防线”。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统筹发展和安全，持续健全规范政府举债融资机制，做好债券资金的“借、用、管、还”全流程管理，严肃推进化债，坚决遏增量、化存量，抓实政府债务风险化解工作。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守牢财经纪律“红线”。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推动财会监督向深处发力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围绕我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市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重大决策部署，聚焦财政、财务、会计领域主要矛盾和突出问题，组织开展财会监督专项行动，把各项财经纪律不折不扣地督办到位，确保不发生重大财经纪律和审计问责风险。</w:t>
      </w:r>
    </w:p>
    <w:p w14:paraId="6308EB7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各位代表！做好202</w:t>
      </w:r>
      <w:r>
        <w:rPr>
          <w:rFonts w:hint="eastAsia" w:ascii="仿宋_GB2312" w:hAnsi="仿宋_GB2312" w:eastAsia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</w:rPr>
        <w:t>年财政工作重任在肩，我们将更加紧密地团结在以习近平同志为核心的党中央周围，坚持以习近平新时代中国特色社会主义思想为指导，在市委、市政府的坚强领导和市人大、市政协的监督指导下，</w:t>
      </w:r>
      <w:r>
        <w:rPr>
          <w:rFonts w:hint="eastAsia" w:ascii="仿宋_GB2312" w:eastAsia="仿宋_GB2312"/>
        </w:rPr>
        <w:t>认真贯彻执行本次大会作出的决议，不断提高预算管理水平，</w:t>
      </w:r>
      <w:r>
        <w:rPr>
          <w:rFonts w:hint="eastAsia" w:ascii="仿宋_GB2312" w:hAnsi="仿宋_GB2312" w:eastAsia="仿宋_GB2312" w:cs="仿宋_GB2312"/>
        </w:rPr>
        <w:t>思想再解放、改革再出发</w:t>
      </w:r>
      <w:r>
        <w:rPr>
          <w:rFonts w:hint="eastAsia" w:ascii="仿宋_GB2312" w:hAnsi="仿宋_GB2312" w:eastAsia="仿宋_GB2312" w:cs="仿宋_GB231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kern w:val="0"/>
        </w:rPr>
        <w:t>不断把新时代垦荒创业推向前进，奋力</w:t>
      </w:r>
      <w:r>
        <w:rPr>
          <w:rFonts w:hint="eastAsia" w:ascii="仿宋_GB2312" w:hAnsi="仿宋_GB2312" w:eastAsia="仿宋_GB2312" w:cs="仿宋_GB2312"/>
          <w:kern w:val="0"/>
          <w:lang w:eastAsia="zh-CN"/>
        </w:rPr>
        <w:t>开创</w:t>
      </w:r>
      <w:r>
        <w:rPr>
          <w:rFonts w:hint="eastAsia" w:ascii="仿宋_GB2312" w:hAnsi="仿宋_GB2312" w:eastAsia="仿宋_GB2312" w:cs="仿宋_GB2312"/>
          <w:kern w:val="0"/>
        </w:rPr>
        <w:t>谱写中国式现代化共青城篇章</w:t>
      </w:r>
      <w:r>
        <w:rPr>
          <w:rFonts w:hint="eastAsia" w:ascii="仿宋_GB2312" w:hAnsi="仿宋_GB2312" w:eastAsia="仿宋_GB2312" w:cs="仿宋_GB2312"/>
          <w:kern w:val="0"/>
          <w:lang w:eastAsia="zh-CN"/>
        </w:rPr>
        <w:t>新局面</w:t>
      </w:r>
      <w:r>
        <w:rPr>
          <w:rFonts w:hint="eastAsia" w:ascii="仿宋_GB2312" w:hAnsi="仿宋_GB2312" w:eastAsia="仿宋_GB2312" w:cs="仿宋_GB2312"/>
          <w:kern w:val="0"/>
        </w:rPr>
        <w:t>！</w:t>
      </w:r>
    </w:p>
    <w:p w14:paraId="58AAF95E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640" w:firstLine="640"/>
        <w:textAlignment w:val="auto"/>
        <w:rPr>
          <w:rFonts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53A9617B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640" w:firstLine="640"/>
        <w:textAlignment w:val="auto"/>
        <w:rPr>
          <w:rFonts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4460595A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640" w:firstLine="640"/>
        <w:textAlignment w:val="auto"/>
        <w:rPr>
          <w:rFonts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p w14:paraId="2501C079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640" w:firstLine="640"/>
        <w:textAlignment w:val="auto"/>
        <w:rPr>
          <w:rFonts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360E9118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640" w:firstLine="640"/>
        <w:textAlignment w:val="auto"/>
        <w:rPr>
          <w:rFonts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03CDDF98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640" w:firstLine="640"/>
        <w:textAlignment w:val="auto"/>
        <w:rPr>
          <w:rFonts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4192FA38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640" w:firstLine="640"/>
        <w:textAlignment w:val="auto"/>
        <w:rPr>
          <w:rFonts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394D61C4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640" w:firstLine="640"/>
        <w:textAlignment w:val="auto"/>
        <w:rPr>
          <w:rFonts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1D75EE11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firstLine="0" w:firstLineChars="0"/>
        <w:textAlignment w:val="auto"/>
        <w:rPr>
          <w:rFonts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375ED70D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640" w:firstLine="640"/>
        <w:textAlignment w:val="auto"/>
        <w:rPr>
          <w:rFonts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1D534099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640" w:firstLine="640"/>
        <w:textAlignment w:val="auto"/>
        <w:rPr>
          <w:rFonts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4E143A75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640" w:firstLine="640"/>
        <w:textAlignment w:val="auto"/>
        <w:rPr>
          <w:rFonts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235C3BF1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640" w:firstLine="640"/>
        <w:textAlignment w:val="auto"/>
        <w:rPr>
          <w:rFonts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476DFD4E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640" w:firstLine="640"/>
        <w:textAlignment w:val="auto"/>
        <w:rPr>
          <w:rFonts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352741C2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640" w:firstLine="640"/>
        <w:textAlignment w:val="auto"/>
        <w:rPr>
          <w:rFonts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7B8CA6B2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640" w:firstLine="640"/>
        <w:textAlignment w:val="auto"/>
        <w:rPr>
          <w:rFonts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4C48FC53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640" w:firstLine="640"/>
        <w:textAlignment w:val="auto"/>
        <w:rPr>
          <w:rFonts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48C2E131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640" w:firstLine="640"/>
        <w:textAlignment w:val="auto"/>
        <w:rPr>
          <w:rFonts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14636D1A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640" w:firstLine="640"/>
        <w:textAlignment w:val="auto"/>
        <w:rPr>
          <w:rFonts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0EFE4A12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640" w:firstLine="640"/>
        <w:textAlignment w:val="auto"/>
        <w:rPr>
          <w:rFonts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7C6FD7DA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640" w:firstLine="640"/>
        <w:textAlignment w:val="auto"/>
        <w:rPr>
          <w:rFonts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060E9FA8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640" w:firstLine="640"/>
        <w:textAlignment w:val="auto"/>
        <w:rPr>
          <w:rFonts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0B582188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640" w:firstLine="640"/>
        <w:textAlignment w:val="auto"/>
        <w:rPr>
          <w:rFonts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6A096567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640" w:firstLine="640"/>
        <w:textAlignment w:val="auto"/>
        <w:rPr>
          <w:rFonts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0BFE169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640" w:firstLine="640"/>
        <w:textAlignment w:val="auto"/>
        <w:rPr>
          <w:rFonts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2317175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4C10706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48279D9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7D7E78C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24C33C1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6B55778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1"/>
        <w:tblpPr w:leftFromText="180" w:rightFromText="180" w:vertAnchor="text" w:horzAnchor="page" w:tblpX="1802" w:tblpY="86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D52C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left w:val="nil"/>
              <w:right w:val="nil"/>
            </w:tcBorders>
          </w:tcPr>
          <w:p w14:paraId="3359F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市三届人大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次会议秘书处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日印发</w:t>
            </w:r>
          </w:p>
        </w:tc>
      </w:tr>
    </w:tbl>
    <w:p w14:paraId="4CC340F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right"/>
        <w:textAlignment w:val="auto"/>
      </w:pPr>
      <w:r>
        <w:rPr>
          <w:rFonts w:ascii="仿宋_GB2312"/>
        </w:rPr>
        <w:t xml:space="preserve">      </w:t>
      </w:r>
      <w:r>
        <w:rPr>
          <w:rFonts w:hint="eastAsia" w:ascii="仿宋_GB2312"/>
        </w:rPr>
        <w:t xml:space="preserve">       </w:t>
      </w:r>
      <w:r>
        <w:rPr>
          <w:rFonts w:ascii="仿宋_GB2312"/>
        </w:rPr>
        <w:t xml:space="preserve">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（共印370份）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DE7FA">
    <w:pPr>
      <w:pStyle w:val="8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61F4F53">
                          <w:pPr>
                            <w:pStyle w:val="8"/>
                            <w:rPr>
                              <w:rStyle w:val="14"/>
                              <w:rFonts w:asci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4"/>
                              <w:rFonts w:ascii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ascii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  <w:rFonts w:ascii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仿宋_GB2312" w:cs="仿宋_GB2312"/>
                              <w:sz w:val="28"/>
                              <w:szCs w:val="28"/>
                            </w:rPr>
                            <w:t>- 15 -</w:t>
                          </w:r>
                          <w:r>
                            <w:rPr>
                              <w:rStyle w:val="14"/>
                              <w:rFonts w:ascii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LgbwxAgAAZQ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Di4G8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1F4F53">
                    <w:pPr>
                      <w:pStyle w:val="8"/>
                      <w:rPr>
                        <w:rStyle w:val="14"/>
                        <w:rFonts w:ascii="仿宋_GB2312" w:cs="仿宋_GB2312"/>
                        <w:sz w:val="28"/>
                        <w:szCs w:val="28"/>
                      </w:rPr>
                    </w:pPr>
                    <w:r>
                      <w:rPr>
                        <w:rStyle w:val="14"/>
                        <w:rFonts w:ascii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ascii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  <w:rFonts w:ascii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ascii="仿宋_GB2312" w:cs="仿宋_GB2312"/>
                        <w:sz w:val="28"/>
                        <w:szCs w:val="28"/>
                      </w:rPr>
                      <w:t>- 15 -</w:t>
                    </w:r>
                    <w:r>
                      <w:rPr>
                        <w:rStyle w:val="14"/>
                        <w:rFonts w:ascii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5FE68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1MWNkNmI2YzYxZTkzNGQ3NWQ3NTMwMjY3ZGIzMTEifQ=="/>
    <w:docVar w:name="KSO_WPS_MARK_KEY" w:val="7dda3beb-834d-4fe8-af90-9ebc7fdce77d"/>
  </w:docVars>
  <w:rsids>
    <w:rsidRoot w:val="43FA6FCA"/>
    <w:rsid w:val="00046CA0"/>
    <w:rsid w:val="0046003D"/>
    <w:rsid w:val="005A16F7"/>
    <w:rsid w:val="005B0453"/>
    <w:rsid w:val="00646BEC"/>
    <w:rsid w:val="0076022E"/>
    <w:rsid w:val="008B0D4D"/>
    <w:rsid w:val="00A23F3E"/>
    <w:rsid w:val="00A7439A"/>
    <w:rsid w:val="00BD4BCD"/>
    <w:rsid w:val="00C32F98"/>
    <w:rsid w:val="00C438A3"/>
    <w:rsid w:val="00C50630"/>
    <w:rsid w:val="00C975B9"/>
    <w:rsid w:val="00CF3D49"/>
    <w:rsid w:val="00EE7A2E"/>
    <w:rsid w:val="00F82B09"/>
    <w:rsid w:val="00F9201A"/>
    <w:rsid w:val="015C6703"/>
    <w:rsid w:val="0213766F"/>
    <w:rsid w:val="037A0487"/>
    <w:rsid w:val="053C0C8A"/>
    <w:rsid w:val="09CA2D09"/>
    <w:rsid w:val="0A960E3D"/>
    <w:rsid w:val="0B006A1D"/>
    <w:rsid w:val="0C087B18"/>
    <w:rsid w:val="0C2779B2"/>
    <w:rsid w:val="0CC1463D"/>
    <w:rsid w:val="0DD020CE"/>
    <w:rsid w:val="0E4B0190"/>
    <w:rsid w:val="0E652B9B"/>
    <w:rsid w:val="0F9A5B51"/>
    <w:rsid w:val="0FC47F75"/>
    <w:rsid w:val="14D71FD1"/>
    <w:rsid w:val="155956AB"/>
    <w:rsid w:val="16AA4613"/>
    <w:rsid w:val="18EE0096"/>
    <w:rsid w:val="1A1D1572"/>
    <w:rsid w:val="1A8707A2"/>
    <w:rsid w:val="1B824EC2"/>
    <w:rsid w:val="1BDFE50B"/>
    <w:rsid w:val="1C3D09FE"/>
    <w:rsid w:val="1E7F010E"/>
    <w:rsid w:val="1F2760B0"/>
    <w:rsid w:val="1F334A54"/>
    <w:rsid w:val="1F575C0C"/>
    <w:rsid w:val="1F77A117"/>
    <w:rsid w:val="203D6D40"/>
    <w:rsid w:val="207277FE"/>
    <w:rsid w:val="2194621C"/>
    <w:rsid w:val="226137E9"/>
    <w:rsid w:val="22965A26"/>
    <w:rsid w:val="24346A11"/>
    <w:rsid w:val="251F28D0"/>
    <w:rsid w:val="26057705"/>
    <w:rsid w:val="271E4DDC"/>
    <w:rsid w:val="2A7523C5"/>
    <w:rsid w:val="2B5A071E"/>
    <w:rsid w:val="2EB57234"/>
    <w:rsid w:val="2F56174C"/>
    <w:rsid w:val="2FD656B4"/>
    <w:rsid w:val="31726692"/>
    <w:rsid w:val="32110C25"/>
    <w:rsid w:val="32BF1216"/>
    <w:rsid w:val="331D29B2"/>
    <w:rsid w:val="33AF39F5"/>
    <w:rsid w:val="33DA0991"/>
    <w:rsid w:val="342C7F98"/>
    <w:rsid w:val="34833930"/>
    <w:rsid w:val="35FBFB3F"/>
    <w:rsid w:val="35FE7713"/>
    <w:rsid w:val="3801798E"/>
    <w:rsid w:val="38111789"/>
    <w:rsid w:val="39BBA32E"/>
    <w:rsid w:val="3B75B3E2"/>
    <w:rsid w:val="3D6267D9"/>
    <w:rsid w:val="3EF718CB"/>
    <w:rsid w:val="3F1C049F"/>
    <w:rsid w:val="3FE931E1"/>
    <w:rsid w:val="424401D1"/>
    <w:rsid w:val="424E557E"/>
    <w:rsid w:val="43FA6FCA"/>
    <w:rsid w:val="443469F5"/>
    <w:rsid w:val="44617E7C"/>
    <w:rsid w:val="46827618"/>
    <w:rsid w:val="472540EC"/>
    <w:rsid w:val="47FB9F15"/>
    <w:rsid w:val="490F77EC"/>
    <w:rsid w:val="4A07322B"/>
    <w:rsid w:val="4A7E6E76"/>
    <w:rsid w:val="4BDFDC82"/>
    <w:rsid w:val="4BE17463"/>
    <w:rsid w:val="4CC50B32"/>
    <w:rsid w:val="4DA644C0"/>
    <w:rsid w:val="4E21374B"/>
    <w:rsid w:val="4F6665FD"/>
    <w:rsid w:val="4FE01B24"/>
    <w:rsid w:val="4FFA4520"/>
    <w:rsid w:val="50224938"/>
    <w:rsid w:val="50A62A29"/>
    <w:rsid w:val="51D6733E"/>
    <w:rsid w:val="523D5A2A"/>
    <w:rsid w:val="534F1156"/>
    <w:rsid w:val="53B7AD4C"/>
    <w:rsid w:val="5460071C"/>
    <w:rsid w:val="565A053D"/>
    <w:rsid w:val="57F31661"/>
    <w:rsid w:val="57FFD994"/>
    <w:rsid w:val="58A27F7A"/>
    <w:rsid w:val="58FB7B43"/>
    <w:rsid w:val="59EA78A5"/>
    <w:rsid w:val="59FE45DA"/>
    <w:rsid w:val="5B667480"/>
    <w:rsid w:val="5BA069F2"/>
    <w:rsid w:val="5BDE576D"/>
    <w:rsid w:val="5C0056E3"/>
    <w:rsid w:val="5CA07E92"/>
    <w:rsid w:val="5EFED63B"/>
    <w:rsid w:val="5FA840C8"/>
    <w:rsid w:val="5FB72A94"/>
    <w:rsid w:val="5FC9520A"/>
    <w:rsid w:val="60AE2E25"/>
    <w:rsid w:val="623F6839"/>
    <w:rsid w:val="657571EC"/>
    <w:rsid w:val="65CC4888"/>
    <w:rsid w:val="6750711A"/>
    <w:rsid w:val="67BC35B4"/>
    <w:rsid w:val="67F7E467"/>
    <w:rsid w:val="67FFCBE5"/>
    <w:rsid w:val="690544B7"/>
    <w:rsid w:val="696D1EDE"/>
    <w:rsid w:val="6A2829D5"/>
    <w:rsid w:val="6BA0382F"/>
    <w:rsid w:val="6BAD2A66"/>
    <w:rsid w:val="6D3A3DD5"/>
    <w:rsid w:val="6D4E5082"/>
    <w:rsid w:val="6E7F6681"/>
    <w:rsid w:val="6F525DFE"/>
    <w:rsid w:val="6FF73448"/>
    <w:rsid w:val="70C76378"/>
    <w:rsid w:val="71352A9F"/>
    <w:rsid w:val="716360A0"/>
    <w:rsid w:val="71CB1E97"/>
    <w:rsid w:val="738F5942"/>
    <w:rsid w:val="73FFB7F3"/>
    <w:rsid w:val="751A116C"/>
    <w:rsid w:val="75976D3E"/>
    <w:rsid w:val="759F0683"/>
    <w:rsid w:val="76A1002A"/>
    <w:rsid w:val="76EB6F55"/>
    <w:rsid w:val="773B6A66"/>
    <w:rsid w:val="77EE1EF4"/>
    <w:rsid w:val="77F7D87F"/>
    <w:rsid w:val="77FE6D99"/>
    <w:rsid w:val="77FEAAE6"/>
    <w:rsid w:val="77FFFC33"/>
    <w:rsid w:val="79FD7888"/>
    <w:rsid w:val="7A8157E9"/>
    <w:rsid w:val="7CCB71F0"/>
    <w:rsid w:val="7CCD1AD3"/>
    <w:rsid w:val="7CDE6F23"/>
    <w:rsid w:val="7CF404F4"/>
    <w:rsid w:val="7D767C13"/>
    <w:rsid w:val="7DA94932"/>
    <w:rsid w:val="7E9F293A"/>
    <w:rsid w:val="7EFFA000"/>
    <w:rsid w:val="7F79043E"/>
    <w:rsid w:val="7FAFAC94"/>
    <w:rsid w:val="7FBFA828"/>
    <w:rsid w:val="7FC4254E"/>
    <w:rsid w:val="7FFB55DA"/>
    <w:rsid w:val="7FFE5F69"/>
    <w:rsid w:val="7FFF7AE5"/>
    <w:rsid w:val="7FFFAA24"/>
    <w:rsid w:val="9DB6A1B6"/>
    <w:rsid w:val="9FEE98B5"/>
    <w:rsid w:val="9FFF21D4"/>
    <w:rsid w:val="A7AFC14E"/>
    <w:rsid w:val="B2FF77F9"/>
    <w:rsid w:val="B33BCB81"/>
    <w:rsid w:val="B3DF6B05"/>
    <w:rsid w:val="B77760C1"/>
    <w:rsid w:val="B77A2915"/>
    <w:rsid w:val="B77F75BE"/>
    <w:rsid w:val="B876700F"/>
    <w:rsid w:val="BDD7C5CE"/>
    <w:rsid w:val="BDFDB2E7"/>
    <w:rsid w:val="BFFBC96C"/>
    <w:rsid w:val="CBEF7B52"/>
    <w:rsid w:val="CF4CA669"/>
    <w:rsid w:val="D72F0AEE"/>
    <w:rsid w:val="DBDBE2F5"/>
    <w:rsid w:val="DDEFE94B"/>
    <w:rsid w:val="DFE7C407"/>
    <w:rsid w:val="DFEB76D7"/>
    <w:rsid w:val="EBE4371C"/>
    <w:rsid w:val="ED7BBE64"/>
    <w:rsid w:val="EDFFF811"/>
    <w:rsid w:val="EEE78C78"/>
    <w:rsid w:val="EFFB8AD3"/>
    <w:rsid w:val="F3DF600C"/>
    <w:rsid w:val="F57DED17"/>
    <w:rsid w:val="F5B5612E"/>
    <w:rsid w:val="F77B9B87"/>
    <w:rsid w:val="F7B7AD42"/>
    <w:rsid w:val="F7E00291"/>
    <w:rsid w:val="F7EE6467"/>
    <w:rsid w:val="F7EF4149"/>
    <w:rsid w:val="FCFFC9A2"/>
    <w:rsid w:val="FDCF0397"/>
    <w:rsid w:val="FDD7A9EE"/>
    <w:rsid w:val="FE7F4BA7"/>
    <w:rsid w:val="FF7F5F2A"/>
    <w:rsid w:val="FFA693D9"/>
    <w:rsid w:val="FFBB7084"/>
    <w:rsid w:val="FFBE0B1B"/>
    <w:rsid w:val="FFBF8ABD"/>
    <w:rsid w:val="FFDBED74"/>
    <w:rsid w:val="FFEFC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Body Text"/>
    <w:basedOn w:val="1"/>
    <w:next w:val="6"/>
    <w:qFormat/>
    <w:uiPriority w:val="0"/>
    <w:rPr>
      <w:szCs w:val="24"/>
    </w:rPr>
  </w:style>
  <w:style w:type="paragraph" w:styleId="6">
    <w:name w:val="Body Text First Indent"/>
    <w:basedOn w:val="5"/>
    <w:qFormat/>
    <w:uiPriority w:val="0"/>
    <w:pPr>
      <w:ind w:firstLine="420" w:firstLineChars="100"/>
    </w:pPr>
  </w:style>
  <w:style w:type="paragraph" w:styleId="7">
    <w:name w:val="Body Text Indent 2"/>
    <w:basedOn w:val="1"/>
    <w:qFormat/>
    <w:uiPriority w:val="99"/>
    <w:pPr>
      <w:spacing w:after="120" w:line="480" w:lineRule="auto"/>
      <w:ind w:left="420" w:leftChars="200" w:firstLine="200" w:firstLineChars="200"/>
    </w:pPr>
    <w:rPr>
      <w:rFonts w:eastAsia="仿宋_GB2312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99"/>
    <w:rPr>
      <w:rFonts w:cs="Times New Roman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楷体_GBK" w:hAnsi="Calibri" w:eastAsia="方正楷体_GBK" w:cs="方正楷体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6507</Words>
  <Characters>7524</Characters>
  <Lines>52</Lines>
  <Paragraphs>14</Paragraphs>
  <TotalTime>35</TotalTime>
  <ScaleCrop>false</ScaleCrop>
  <LinksUpToDate>false</LinksUpToDate>
  <CharactersWithSpaces>7599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2016-01-05T11:43:00Z</dcterms:created>
  <dc:creator>Administrator</dc:creator>
  <cp:lastModifiedBy>爱笑</cp:lastModifiedBy>
  <cp:lastPrinted>2025-01-22T19:20:00Z</cp:lastPrinted>
  <dcterms:modified xsi:type="dcterms:W3CDTF">2026-01-30T04:32:12Z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36248B17612B4BEE8CF7D240C4F4BA13_13</vt:lpwstr>
  </property>
  <property fmtid="{D5CDD505-2E9C-101B-9397-08002B2CF9AE}" pid="4" name="KSOTemplateDocerSaveRecord">
    <vt:lpwstr>eyJoZGlkIjoiZGZhYjdkMTJiNmY1YmE3ZGM2YTY3OTcyMjQ4YWQ1ZjMiLCJ1c2VySWQiOiI1NDQyNTc5MDcifQ==</vt:lpwstr>
  </property>
</Properties>
</file>