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rPr>
        <w:t>泽泉乡财政所部门</w:t>
      </w:r>
      <w:r>
        <w:rPr>
          <w:rFonts w:hint="eastAsia" w:ascii="黑体" w:eastAsia="黑体"/>
          <w:sz w:val="44"/>
          <w:szCs w:val="36"/>
        </w:rPr>
        <w:t>2018年度部门决算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 xml:space="preserve">目    录  </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泽泉乡财政所部门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2018年度部门决算表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2018年度部门决算情况说明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泽泉乡财政所部门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仿宋" w:hAnsi="仿宋" w:eastAsia="仿宋"/>
          <w:sz w:val="30"/>
          <w:szCs w:val="30"/>
        </w:rPr>
      </w:pPr>
      <w:r>
        <w:rPr>
          <w:rFonts w:hint="eastAsia" w:ascii="仿宋" w:hAnsi="仿宋" w:eastAsia="仿宋"/>
          <w:sz w:val="30"/>
          <w:szCs w:val="30"/>
        </w:rPr>
        <w:t>（一）落实兑现各级惠农补助资金，对农民负担和</w:t>
      </w:r>
      <w:bookmarkStart w:id="0" w:name="_GoBack"/>
      <w:r>
        <w:rPr>
          <w:rFonts w:hint="eastAsia" w:ascii="仿宋" w:hAnsi="仿宋" w:eastAsia="仿宋"/>
          <w:color w:val="auto"/>
          <w:sz w:val="30"/>
          <w:szCs w:val="30"/>
          <w:u w:val="none"/>
        </w:rPr>
        <w:t>农村</w:t>
      </w:r>
      <w:r>
        <w:rPr>
          <w:rFonts w:hint="eastAsia" w:ascii="仿宋" w:hAnsi="仿宋" w:eastAsia="仿宋"/>
          <w:sz w:val="30"/>
          <w:szCs w:val="30"/>
        </w:rPr>
        <w:t>政策实施监管；</w:t>
      </w:r>
    </w:p>
    <w:bookmarkEnd w:id="0"/>
    <w:p>
      <w:pPr>
        <w:ind w:firstLine="630"/>
        <w:jc w:val="left"/>
        <w:rPr>
          <w:rFonts w:hint="eastAsia" w:ascii="仿宋" w:hAnsi="仿宋" w:eastAsia="仿宋"/>
          <w:sz w:val="30"/>
          <w:szCs w:val="30"/>
        </w:rPr>
      </w:pPr>
      <w:r>
        <w:rPr>
          <w:rFonts w:hint="eastAsia" w:ascii="仿宋" w:hAnsi="仿宋" w:eastAsia="仿宋"/>
          <w:sz w:val="30"/>
          <w:szCs w:val="30"/>
        </w:rPr>
        <w:t>（二）围绕乡镇财源建设搞好服务；</w:t>
      </w:r>
    </w:p>
    <w:p>
      <w:pPr>
        <w:ind w:firstLine="630"/>
        <w:jc w:val="left"/>
        <w:rPr>
          <w:rFonts w:hint="eastAsia" w:ascii="仿宋" w:hAnsi="仿宋" w:eastAsia="仿宋"/>
          <w:sz w:val="30"/>
          <w:szCs w:val="30"/>
        </w:rPr>
      </w:pPr>
      <w:r>
        <w:rPr>
          <w:rFonts w:hint="eastAsia" w:ascii="仿宋" w:hAnsi="仿宋" w:eastAsia="仿宋"/>
          <w:sz w:val="30"/>
          <w:szCs w:val="30"/>
        </w:rPr>
        <w:t>（三）负责对</w:t>
      </w:r>
      <w:r>
        <w:rPr>
          <w:rFonts w:hint="eastAsia" w:ascii="仿宋" w:hAnsi="仿宋" w:eastAsia="仿宋"/>
          <w:color w:val="auto"/>
          <w:sz w:val="30"/>
          <w:szCs w:val="30"/>
          <w:u w:val="none"/>
        </w:rPr>
        <w:t>农村财务管理</w:t>
      </w:r>
      <w:r>
        <w:rPr>
          <w:rFonts w:hint="eastAsia" w:ascii="仿宋" w:hAnsi="仿宋" w:eastAsia="仿宋"/>
          <w:sz w:val="30"/>
          <w:szCs w:val="30"/>
        </w:rPr>
        <w:t>指导、监督和审计，依法代理村级</w:t>
      </w:r>
      <w:r>
        <w:rPr>
          <w:rFonts w:hint="eastAsia" w:ascii="仿宋" w:hAnsi="仿宋" w:eastAsia="仿宋"/>
          <w:color w:val="auto"/>
          <w:sz w:val="30"/>
          <w:szCs w:val="30"/>
          <w:u w:val="none"/>
        </w:rPr>
        <w:t>财务</w:t>
      </w:r>
      <w:r>
        <w:rPr>
          <w:rFonts w:hint="eastAsia" w:ascii="仿宋" w:hAnsi="仿宋" w:eastAsia="仿宋"/>
          <w:sz w:val="30"/>
          <w:szCs w:val="30"/>
        </w:rPr>
        <w:t>，财政</w:t>
      </w:r>
      <w:r>
        <w:rPr>
          <w:rFonts w:hint="eastAsia" w:ascii="仿宋" w:hAnsi="仿宋" w:eastAsia="仿宋"/>
          <w:color w:val="auto"/>
          <w:sz w:val="30"/>
          <w:szCs w:val="30"/>
          <w:u w:val="none"/>
        </w:rPr>
        <w:t>项目资金管理</w:t>
      </w:r>
      <w:r>
        <w:rPr>
          <w:rFonts w:hint="eastAsia" w:ascii="仿宋" w:hAnsi="仿宋" w:eastAsia="仿宋"/>
          <w:sz w:val="30"/>
          <w:szCs w:val="30"/>
        </w:rPr>
        <w:t>和</w:t>
      </w:r>
      <w:r>
        <w:rPr>
          <w:rFonts w:hint="eastAsia" w:ascii="仿宋" w:hAnsi="仿宋" w:eastAsia="仿宋"/>
          <w:sz w:val="30"/>
          <w:szCs w:val="30"/>
        </w:rPr>
        <w:fldChar w:fldCharType="begin"/>
      </w:r>
      <w:r>
        <w:rPr>
          <w:rFonts w:hint="eastAsia" w:ascii="仿宋" w:hAnsi="仿宋" w:eastAsia="仿宋"/>
          <w:sz w:val="30"/>
          <w:szCs w:val="30"/>
        </w:rPr>
        <w:instrText xml:space="preserve"> HYPERLINK "http://www.so.com/s?q=%E4%B9%A1%E9%95%87%E6%94%BF%E5%BA%9C&amp;ie=utf-8&amp;src=internal_wenda_recommend_textn" \t "https://wenda.so.com/q/_blank" </w:instrText>
      </w:r>
      <w:r>
        <w:rPr>
          <w:rFonts w:hint="eastAsia" w:ascii="仿宋" w:hAnsi="仿宋" w:eastAsia="仿宋"/>
          <w:sz w:val="30"/>
          <w:szCs w:val="30"/>
        </w:rPr>
        <w:fldChar w:fldCharType="separate"/>
      </w:r>
      <w:r>
        <w:rPr>
          <w:rFonts w:hint="eastAsia" w:ascii="仿宋" w:hAnsi="仿宋" w:eastAsia="仿宋"/>
          <w:sz w:val="30"/>
          <w:szCs w:val="30"/>
        </w:rPr>
        <w:t>乡镇政府</w:t>
      </w:r>
      <w:r>
        <w:rPr>
          <w:rFonts w:hint="eastAsia" w:ascii="仿宋" w:hAnsi="仿宋" w:eastAsia="仿宋"/>
          <w:sz w:val="30"/>
          <w:szCs w:val="30"/>
        </w:rPr>
        <w:fldChar w:fldCharType="end"/>
      </w:r>
      <w:r>
        <w:rPr>
          <w:rFonts w:hint="eastAsia" w:ascii="仿宋" w:hAnsi="仿宋" w:eastAsia="仿宋"/>
          <w:sz w:val="30"/>
          <w:szCs w:val="30"/>
        </w:rPr>
        <w:t>机关财务代理；</w:t>
      </w:r>
    </w:p>
    <w:p>
      <w:pPr>
        <w:ind w:firstLine="630"/>
        <w:jc w:val="left"/>
        <w:rPr>
          <w:rFonts w:hint="eastAsia" w:ascii="仿宋" w:hAnsi="仿宋" w:eastAsia="仿宋"/>
          <w:sz w:val="30"/>
          <w:szCs w:val="30"/>
        </w:rPr>
      </w:pPr>
      <w:r>
        <w:rPr>
          <w:rFonts w:hint="eastAsia" w:ascii="仿宋" w:hAnsi="仿宋" w:eastAsia="仿宋"/>
          <w:sz w:val="30"/>
          <w:szCs w:val="30"/>
        </w:rPr>
        <w:t>（四）负责对乡镇公有</w:t>
      </w:r>
      <w:r>
        <w:rPr>
          <w:rFonts w:hint="eastAsia" w:ascii="仿宋" w:hAnsi="仿宋" w:eastAsia="仿宋"/>
          <w:color w:val="auto"/>
          <w:sz w:val="30"/>
          <w:szCs w:val="30"/>
          <w:u w:val="none"/>
        </w:rPr>
        <w:t>资产管理</w:t>
      </w:r>
      <w:r>
        <w:rPr>
          <w:rFonts w:hint="eastAsia" w:ascii="仿宋" w:hAnsi="仿宋" w:eastAsia="仿宋"/>
          <w:sz w:val="30"/>
          <w:szCs w:val="30"/>
        </w:rPr>
        <w:t>利用及村级集体资产监督管理；</w:t>
      </w:r>
    </w:p>
    <w:p>
      <w:pPr>
        <w:ind w:firstLine="630"/>
        <w:jc w:val="left"/>
        <w:rPr>
          <w:rFonts w:hint="eastAsia" w:ascii="仿宋" w:hAnsi="仿宋" w:eastAsia="仿宋"/>
          <w:sz w:val="30"/>
          <w:szCs w:val="30"/>
        </w:rPr>
      </w:pPr>
      <w:r>
        <w:rPr>
          <w:rFonts w:hint="eastAsia" w:ascii="仿宋" w:hAnsi="仿宋" w:eastAsia="仿宋"/>
          <w:sz w:val="30"/>
          <w:szCs w:val="30"/>
        </w:rPr>
        <w:t>（五）负责乡镇财政预算编制、执行及管理。</w:t>
      </w:r>
    </w:p>
    <w:p>
      <w:pPr>
        <w:ind w:firstLine="630"/>
        <w:jc w:val="left"/>
        <w:rPr>
          <w:rFonts w:hint="eastAsia" w:ascii="仿宋" w:hAnsi="仿宋" w:eastAsia="仿宋"/>
          <w:sz w:val="30"/>
          <w:szCs w:val="30"/>
        </w:rPr>
      </w:pPr>
      <w:r>
        <w:rPr>
          <w:rFonts w:hint="eastAsia" w:ascii="仿宋" w:hAnsi="仿宋" w:eastAsia="仿宋"/>
          <w:sz w:val="30"/>
          <w:szCs w:val="30"/>
        </w:rPr>
        <w:t>（六）负责做好农村综合改革和社会主义新农村建设相关工作；</w:t>
      </w:r>
    </w:p>
    <w:p>
      <w:pPr>
        <w:ind w:firstLine="630"/>
        <w:jc w:val="left"/>
        <w:rPr>
          <w:rFonts w:ascii="仿宋" w:hAnsi="仿宋" w:eastAsia="仿宋"/>
          <w:sz w:val="30"/>
          <w:szCs w:val="30"/>
        </w:rPr>
      </w:pPr>
      <w:r>
        <w:rPr>
          <w:rFonts w:hint="eastAsia" w:ascii="仿宋" w:hAnsi="仿宋" w:eastAsia="仿宋"/>
          <w:sz w:val="30"/>
          <w:szCs w:val="30"/>
        </w:rPr>
        <w:t>（七）承办乡镇党委、政府及上级财政部门交办的其他事项。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纳入本套部门决算汇编范围的单位共1个，包括：共青城市泽泉乡财政所。</w:t>
      </w:r>
    </w:p>
    <w:p>
      <w:pPr>
        <w:ind w:firstLine="630"/>
        <w:jc w:val="left"/>
        <w:rPr>
          <w:rFonts w:hint="eastAsia" w:ascii="仿宋" w:hAnsi="仿宋" w:eastAsia="仿宋"/>
          <w:sz w:val="30"/>
          <w:szCs w:val="30"/>
        </w:rPr>
      </w:pPr>
      <w:r>
        <w:rPr>
          <w:rFonts w:hint="eastAsia" w:ascii="仿宋" w:hAnsi="仿宋" w:eastAsia="仿宋"/>
          <w:sz w:val="30"/>
          <w:szCs w:val="30"/>
        </w:rPr>
        <w:t>本部门2018年年末编制人数4人，其中行政编制0人，事业编制4人；年末实有人数2人，其中在职人员2人，离休人员0人，退休人员0人；年末学生人数0人。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2018年度部门决算表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1770" cy="4508500"/>
            <wp:effectExtent l="0" t="0" r="5080" b="6350"/>
            <wp:docPr id="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1"/>
                    <pic:cNvPicPr>
                      <a:picLocks noChangeAspect="1"/>
                    </pic:cNvPicPr>
                  </pic:nvPicPr>
                  <pic:blipFill>
                    <a:blip r:embed="rId4"/>
                    <a:stretch>
                      <a:fillRect/>
                    </a:stretch>
                  </pic:blipFill>
                  <pic:spPr>
                    <a:xfrm>
                      <a:off x="0" y="0"/>
                      <a:ext cx="5271770" cy="450850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r>
        <w:drawing>
          <wp:inline distT="0" distB="0" distL="114300" distR="114300">
            <wp:extent cx="5268595" cy="2546985"/>
            <wp:effectExtent l="0" t="0" r="8255" b="5715"/>
            <wp:docPr id="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2"/>
                    <pic:cNvPicPr>
                      <a:picLocks noChangeAspect="1"/>
                    </pic:cNvPicPr>
                  </pic:nvPicPr>
                  <pic:blipFill>
                    <a:blip r:embed="rId5"/>
                    <a:stretch>
                      <a:fillRect/>
                    </a:stretch>
                  </pic:blipFill>
                  <pic:spPr>
                    <a:xfrm>
                      <a:off x="0" y="0"/>
                      <a:ext cx="5268595" cy="254698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1858645"/>
            <wp:effectExtent l="0" t="0" r="6350" b="8255"/>
            <wp:docPr id="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3"/>
                    <pic:cNvPicPr>
                      <a:picLocks noChangeAspect="1"/>
                    </pic:cNvPicPr>
                  </pic:nvPicPr>
                  <pic:blipFill>
                    <a:blip r:embed="rId6"/>
                    <a:stretch>
                      <a:fillRect/>
                    </a:stretch>
                  </pic:blipFill>
                  <pic:spPr>
                    <a:xfrm>
                      <a:off x="0" y="0"/>
                      <a:ext cx="5270500" cy="185864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66690" cy="4180205"/>
            <wp:effectExtent l="0" t="0" r="10160" b="10795"/>
            <wp:docPr id="4"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3"/>
                    <pic:cNvPicPr>
                      <a:picLocks noChangeAspect="1"/>
                    </pic:cNvPicPr>
                  </pic:nvPicPr>
                  <pic:blipFill>
                    <a:blip r:embed="rId7"/>
                    <a:stretch>
                      <a:fillRect/>
                    </a:stretch>
                  </pic:blipFill>
                  <pic:spPr>
                    <a:xfrm>
                      <a:off x="0" y="0"/>
                      <a:ext cx="5266690" cy="418020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1135" cy="2919095"/>
            <wp:effectExtent l="0" t="0" r="5715" b="14605"/>
            <wp:docPr id="5"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4"/>
                    <pic:cNvPicPr>
                      <a:picLocks noChangeAspect="1"/>
                    </pic:cNvPicPr>
                  </pic:nvPicPr>
                  <pic:blipFill>
                    <a:blip r:embed="rId8"/>
                    <a:stretch>
                      <a:fillRect/>
                    </a:stretch>
                  </pic:blipFill>
                  <pic:spPr>
                    <a:xfrm>
                      <a:off x="0" y="0"/>
                      <a:ext cx="5271135" cy="291909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325" cy="4048760"/>
            <wp:effectExtent l="0" t="0" r="9525" b="8890"/>
            <wp:docPr id="6"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4"/>
                    <pic:cNvPicPr>
                      <a:picLocks noChangeAspect="1"/>
                    </pic:cNvPicPr>
                  </pic:nvPicPr>
                  <pic:blipFill>
                    <a:blip r:embed="rId9"/>
                    <a:stretch>
                      <a:fillRect/>
                    </a:stretch>
                  </pic:blipFill>
                  <pic:spPr>
                    <a:xfrm>
                      <a:off x="0" y="0"/>
                      <a:ext cx="5267325" cy="404876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105400" cy="5191125"/>
            <wp:effectExtent l="0" t="0" r="0" b="9525"/>
            <wp:docPr id="7"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5"/>
                    <pic:cNvPicPr>
                      <a:picLocks noChangeAspect="1"/>
                    </pic:cNvPicPr>
                  </pic:nvPicPr>
                  <pic:blipFill>
                    <a:blip r:embed="rId10"/>
                    <a:stretch>
                      <a:fillRect/>
                    </a:stretch>
                  </pic:blipFill>
                  <pic:spPr>
                    <a:xfrm>
                      <a:off x="0" y="0"/>
                      <a:ext cx="5105400" cy="519112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1770" cy="2274570"/>
            <wp:effectExtent l="0" t="0" r="5080" b="11430"/>
            <wp:docPr id="8"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6"/>
                    <pic:cNvPicPr>
                      <a:picLocks noChangeAspect="1"/>
                    </pic:cNvPicPr>
                  </pic:nvPicPr>
                  <pic:blipFill>
                    <a:blip r:embed="rId11"/>
                    <a:stretch>
                      <a:fillRect/>
                    </a:stretch>
                  </pic:blipFill>
                  <pic:spPr>
                    <a:xfrm>
                      <a:off x="0" y="0"/>
                      <a:ext cx="5271770" cy="227457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29225" cy="3152775"/>
            <wp:effectExtent l="0" t="0" r="9525" b="9525"/>
            <wp:docPr id="9"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7"/>
                    <pic:cNvPicPr>
                      <a:picLocks noChangeAspect="1"/>
                    </pic:cNvPicPr>
                  </pic:nvPicPr>
                  <pic:blipFill>
                    <a:blip r:embed="rId12"/>
                    <a:stretch>
                      <a:fillRect/>
                    </a:stretch>
                  </pic:blipFill>
                  <pic:spPr>
                    <a:xfrm>
                      <a:off x="0" y="0"/>
                      <a:ext cx="5229225" cy="315277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2018年度部门决算情况说明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本部门2018年度收入总计2.52万元，其中年初结转和结余  0.0065万元，较2017年增加0万元，增长0 %；本年收入合计2.51万元，较2017年增加0万元，增长0 %，主要原因是：上年无结余结转。</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 2.52 万元，占 100 %。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本部门2018年度支出总计2.52万元，其中本年支出合计   2.52万元，较2017年增加0万元，增长0 %，主要原因是：上年无结余结转。</w:t>
      </w:r>
    </w:p>
    <w:p>
      <w:pPr>
        <w:ind w:firstLine="630"/>
        <w:jc w:val="left"/>
        <w:rPr>
          <w:rFonts w:hint="eastAsia" w:ascii="仿宋" w:hAnsi="仿宋" w:eastAsia="仿宋"/>
          <w:sz w:val="30"/>
          <w:szCs w:val="30"/>
        </w:rPr>
      </w:pPr>
      <w:r>
        <w:rPr>
          <w:rFonts w:hint="eastAsia" w:ascii="仿宋" w:hAnsi="仿宋" w:eastAsia="仿宋"/>
          <w:sz w:val="30"/>
          <w:szCs w:val="30"/>
        </w:rPr>
        <w:t>年末结转和结余0.0088万元，较2017年增加0万元，增长0 %，主要原因是：上年结余结转。</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本年支出的具体构成为：基本支出2.52万元，占100%。</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本部门2018年度财政拨款本年支出年初预算数为 2.5 万元，决算数为2.52万元，完成年初预算的100.8%。其中：（一）一般公共服务支出年初预算数为2.5万元，决算数为2.52万元，完成年初预算的100.8%，主要原因是：上年结余结转。</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本部门2018年度一般公共预算财政拨款基本支出2.52万元，其中：（一）工资福利支出0万元，较2017年增加0万元，增长0%，主要原因是：工资在市局发放。</w:t>
      </w:r>
    </w:p>
    <w:p>
      <w:pPr>
        <w:ind w:firstLine="585"/>
        <w:jc w:val="left"/>
        <w:rPr>
          <w:rFonts w:hint="eastAsia" w:ascii="仿宋" w:hAnsi="仿宋" w:eastAsia="仿宋"/>
          <w:sz w:val="30"/>
          <w:szCs w:val="30"/>
        </w:rPr>
      </w:pPr>
      <w:r>
        <w:rPr>
          <w:rFonts w:hint="eastAsia" w:ascii="仿宋" w:hAnsi="仿宋" w:eastAsia="仿宋"/>
          <w:sz w:val="30"/>
          <w:szCs w:val="30"/>
        </w:rPr>
        <w:t>（二）商品和服务支出1.94万元，较2017年增加0万元，增长0%，主要原因是：日常支出。</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（三）对个人和家庭补助支出0万元，较2017年增加0万元，增长0%，主要原因是：无对个人和家庭补助支出。</w:t>
      </w:r>
    </w:p>
    <w:p>
      <w:pPr>
        <w:ind w:firstLine="585"/>
        <w:jc w:val="left"/>
        <w:rPr>
          <w:rFonts w:hint="eastAsia" w:ascii="仿宋" w:hAnsi="仿宋" w:eastAsia="仿宋"/>
          <w:sz w:val="30"/>
          <w:szCs w:val="30"/>
        </w:rPr>
      </w:pPr>
      <w:r>
        <w:rPr>
          <w:rFonts w:hint="eastAsia" w:ascii="仿宋" w:hAnsi="仿宋" w:eastAsia="仿宋"/>
          <w:sz w:val="30"/>
          <w:szCs w:val="30"/>
        </w:rPr>
        <w:t>（四）资本性支出0.58万元，较2017年增加0.58 万元，增长（下降）  %，主要原因是：购买空调。</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本部门2018年度一般公共预算财政拨款“三公”经费支出年初预算数为0万元，决算数为0万元，完成预算的0 %，决算数较2017年增加（减少）0万元，增长（下降）0 %，其中：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 0万元，决算数为0万元，完成预算的0%，决算数较2017年增加（减少）0万元，增长（下降）0%。决算数较年初预算数增加（减少）的主要原因是：2018年因公出国（境）支出无。</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（二）公务接待费支出年初预算数为0万元，决算数为  万元，完成预算的 %，决算数较2017年增加（减少）0万元，增长（下降）0%。决算数较年初预算数增加（减少）的主要原因是：2018年无公务接待费支出。</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0万元，其中公务用车购置年初预算数为0万元，决算数为0万元，完成预算的0 %，决算数较2017年增加（减少）0万元，增长（下降）0 %。决算数较年初预算数增加（减少）的主要原因是：2018年无公务用车购置费支出；公务用车运行维护费支出年初预算数为0万元，决算数为0万元，完成预算的 %，决算数较2017年增加（减少）0万元，增长（下降）0 %。决算数较年初预算数增加（减少）的主要原因是：2018年无公务用车运行维护费支出。</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2018年度机关运行经费支出2.52万元（与部门决算中行政单位和参照公务员法管理事业单位一般公共预算财政拨款基本支出中公用经费之和保持一致），较年初预算数增加0.02万元，增长8%，主要原因是：上年结余结转。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2018年度政府采购支出总额0.58万元，其中：政府采购货物支出0.58万元、政府采购工程支出0万元、政府采购服务支出0万元。授予中小企业合同金额0万元，占政府采购支出总额的0%，其中：授予小微企业合同金额0万元，占政府采购支出总额的0%。（省级部门公开的政府采购金额的计算口径为：本部门纳入2018年部门预算范围的各项政府采购支出金额之和，并做好与2018年度政府采购信息统计报表中“政府采购资金情况表”有关数据的衔接。）</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截止2018年12月31日，本部门共有车辆0辆，其中，副部（省）级及以上领导用车0辆、主要领导干部用车0辆、机要通信用车0辆、应急保障用车0辆、执法执勤用车0辆、特种专业技术用车0 辆、其他用车0辆；单位价值50万元以上通用设备0台（套）；单位价值100万元以上专用设备0台（套）。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cs="仿宋_GB2312"/>
          <w:kern w:val="0"/>
          <w:sz w:val="30"/>
          <w:szCs w:val="30"/>
        </w:rPr>
        <w:t>2018年未开展预算绩效评价工作，</w:t>
      </w:r>
      <w:r>
        <w:rPr>
          <w:rFonts w:hint="eastAsia" w:ascii="仿宋" w:hAnsi="仿宋" w:eastAsia="仿宋"/>
          <w:sz w:val="30"/>
          <w:szCs w:val="30"/>
        </w:rPr>
        <w:t>今后将加强这方面的工作，做好绩效管理工作。</w:t>
      </w:r>
    </w:p>
    <w:p>
      <w:pPr>
        <w:autoSpaceDE w:val="0"/>
        <w:autoSpaceDN w:val="0"/>
        <w:adjustRightInd w:val="0"/>
        <w:spacing w:line="360" w:lineRule="auto"/>
        <w:ind w:firstLine="600" w:firstLineChars="200"/>
        <w:jc w:val="left"/>
        <w:rPr>
          <w:rFonts w:ascii="仿宋" w:hAnsi="仿宋" w:eastAsia="仿宋" w:cs="仿宋_GB2312"/>
          <w:kern w:val="0"/>
          <w:sz w:val="30"/>
          <w:szCs w:val="30"/>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ind w:firstLine="600" w:firstLineChars="200"/>
        <w:rPr>
          <w:rFonts w:hint="eastAsia" w:ascii="仿宋" w:hAnsi="仿宋" w:eastAsia="仿宋"/>
          <w:sz w:val="30"/>
          <w:szCs w:val="30"/>
        </w:rPr>
      </w:pPr>
      <w:r>
        <w:rPr>
          <w:rFonts w:hint="eastAsia" w:ascii="仿宋" w:hAnsi="仿宋" w:eastAsia="仿宋"/>
          <w:sz w:val="30"/>
          <w:szCs w:val="30"/>
        </w:rPr>
        <w:t>一、收入科目</w:t>
      </w:r>
    </w:p>
    <w:p>
      <w:pPr>
        <w:ind w:firstLine="450" w:firstLineChars="150"/>
        <w:rPr>
          <w:rFonts w:hint="eastAsia" w:ascii="仿宋" w:hAnsi="仿宋" w:eastAsia="仿宋"/>
          <w:sz w:val="30"/>
          <w:szCs w:val="30"/>
        </w:rPr>
      </w:pPr>
      <w:r>
        <w:rPr>
          <w:rFonts w:hint="eastAsia" w:ascii="仿宋" w:hAnsi="仿宋" w:eastAsia="仿宋"/>
          <w:sz w:val="30"/>
          <w:szCs w:val="30"/>
        </w:rPr>
        <w:t>（一）财政拨款：指市级财政当年拨付的资金。</w:t>
      </w:r>
    </w:p>
    <w:p>
      <w:pPr>
        <w:ind w:firstLine="450" w:firstLineChars="150"/>
        <w:rPr>
          <w:rFonts w:hint="eastAsia" w:ascii="仿宋" w:hAnsi="仿宋" w:eastAsia="仿宋"/>
          <w:sz w:val="30"/>
          <w:szCs w:val="30"/>
        </w:rPr>
      </w:pPr>
      <w:r>
        <w:rPr>
          <w:rFonts w:hint="eastAsia" w:ascii="仿宋" w:hAnsi="仿宋" w:eastAsia="仿宋"/>
          <w:sz w:val="30"/>
          <w:szCs w:val="30"/>
        </w:rPr>
        <w:t>（二）其他收入：指除财政拨款、事业收入、事业单位经营收入等以外的各项收入。本局的其他收入是中央燃油税转移支付收入。</w:t>
      </w:r>
    </w:p>
    <w:p>
      <w:pPr>
        <w:ind w:firstLine="450" w:firstLineChars="150"/>
        <w:rPr>
          <w:rFonts w:hint="eastAsia" w:ascii="仿宋" w:hAnsi="仿宋" w:eastAsia="仿宋"/>
          <w:sz w:val="30"/>
          <w:szCs w:val="30"/>
        </w:rPr>
      </w:pPr>
      <w:r>
        <w:rPr>
          <w:rFonts w:hint="eastAsia" w:ascii="仿宋" w:hAnsi="仿宋" w:eastAsia="仿宋"/>
          <w:sz w:val="30"/>
          <w:szCs w:val="30"/>
        </w:rPr>
        <w:t>（三）上年结转结余：填列2016年全部结转和结余的资金数，包括当年结转结余资金和历年滚存结转结余资金。</w:t>
      </w:r>
    </w:p>
    <w:p>
      <w:pPr>
        <w:ind w:firstLine="600" w:firstLineChars="200"/>
        <w:rPr>
          <w:rFonts w:hint="eastAsia" w:ascii="仿宋" w:hAnsi="仿宋" w:eastAsia="仿宋"/>
          <w:sz w:val="30"/>
          <w:szCs w:val="30"/>
        </w:rPr>
      </w:pPr>
      <w:r>
        <w:rPr>
          <w:rFonts w:ascii="仿宋" w:hAnsi="仿宋" w:eastAsia="仿宋"/>
          <w:sz w:val="30"/>
          <w:szCs w:val="30"/>
        </w:rPr>
        <w:t>二、支出科目</w:t>
      </w:r>
    </w:p>
    <w:p>
      <w:pPr>
        <w:ind w:firstLine="450" w:firstLineChars="150"/>
        <w:rPr>
          <w:rFonts w:hint="eastAsia" w:ascii="仿宋" w:hAnsi="仿宋" w:eastAsia="仿宋"/>
          <w:sz w:val="30"/>
          <w:szCs w:val="30"/>
        </w:rPr>
      </w:pPr>
      <w:r>
        <w:rPr>
          <w:rFonts w:hint="eastAsia" w:ascii="仿宋" w:hAnsi="仿宋" w:eastAsia="仿宋"/>
          <w:sz w:val="30"/>
          <w:szCs w:val="30"/>
        </w:rPr>
        <w:t>（一）“三公”经费：反映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450" w:firstLineChars="150"/>
        <w:rPr>
          <w:rFonts w:hint="eastAsia" w:ascii="仿宋" w:hAnsi="仿宋" w:eastAsia="仿宋"/>
          <w:sz w:val="30"/>
          <w:szCs w:val="30"/>
        </w:rPr>
      </w:pPr>
      <w:r>
        <w:rPr>
          <w:rFonts w:hint="eastAsia" w:ascii="仿宋" w:hAnsi="仿宋" w:eastAsia="仿宋"/>
          <w:sz w:val="30"/>
          <w:szCs w:val="30"/>
        </w:rPr>
        <w:t>（二）机关运行经费：为保障行政（含参照公务员法管理的事业单位）运行用于购买货物和服务的各项资金，包括办公及印刷费、邮电费、差旅费、会议费、福利费、日常维修费、专用材料及一般设备购置费、办公用房水电费、办公用房取暖费、办公用房物业管理费及其他费用。</w:t>
      </w:r>
    </w:p>
    <w:p>
      <w:pPr>
        <w:ind w:firstLine="450" w:firstLineChars="150"/>
        <w:rPr>
          <w:rFonts w:hint="eastAsia" w:ascii="仿宋" w:hAnsi="仿宋" w:eastAsia="仿宋"/>
          <w:sz w:val="30"/>
          <w:szCs w:val="30"/>
        </w:rPr>
      </w:pPr>
      <w:r>
        <w:rPr>
          <w:rFonts w:hint="eastAsia" w:ascii="仿宋" w:hAnsi="仿宋" w:eastAsia="仿宋"/>
          <w:sz w:val="30"/>
          <w:szCs w:val="30"/>
        </w:rPr>
        <w:t>（三）住房保障支出：住房公积金支出。</w:t>
      </w:r>
    </w:p>
    <w:p>
      <w:pPr>
        <w:ind w:firstLine="450" w:firstLineChars="150"/>
        <w:rPr>
          <w:rFonts w:hint="eastAsia" w:ascii="仿宋" w:hAnsi="仿宋" w:eastAsia="仿宋"/>
          <w:sz w:val="30"/>
          <w:szCs w:val="30"/>
        </w:rPr>
      </w:pPr>
      <w:r>
        <w:rPr>
          <w:rFonts w:hint="eastAsia" w:ascii="仿宋" w:hAnsi="仿宋" w:eastAsia="仿宋"/>
          <w:sz w:val="30"/>
          <w:szCs w:val="30"/>
        </w:rPr>
        <w:t>（四）工资福利支出：反映单位开支的在职职工的各类劳动报酬，以及为上述人员缴纳的各项社会保险费等。</w:t>
      </w:r>
    </w:p>
    <w:p>
      <w:pPr>
        <w:ind w:firstLine="450" w:firstLineChars="150"/>
        <w:rPr>
          <w:rFonts w:hint="eastAsia" w:ascii="仿宋" w:hAnsi="仿宋" w:eastAsia="仿宋"/>
          <w:sz w:val="30"/>
          <w:szCs w:val="30"/>
        </w:rPr>
      </w:pPr>
      <w:r>
        <w:rPr>
          <w:rFonts w:hint="eastAsia" w:ascii="仿宋" w:hAnsi="仿宋" w:eastAsia="仿宋"/>
          <w:sz w:val="30"/>
          <w:szCs w:val="30"/>
        </w:rPr>
        <w:t>（五）商品和服务支出：反映单位购买商品和服务的支出，不包括用于购置固定资产的资本性支出。</w:t>
      </w:r>
    </w:p>
    <w:p>
      <w:pPr>
        <w:ind w:firstLine="300" w:firstLineChars="100"/>
        <w:rPr>
          <w:rFonts w:hint="eastAsia" w:ascii="仿宋" w:hAnsi="仿宋" w:eastAsia="仿宋"/>
          <w:sz w:val="30"/>
          <w:szCs w:val="30"/>
        </w:rPr>
      </w:pPr>
      <w:r>
        <w:rPr>
          <w:rFonts w:hint="eastAsia" w:ascii="仿宋" w:hAnsi="仿宋" w:eastAsia="仿宋"/>
          <w:sz w:val="30"/>
          <w:szCs w:val="30"/>
        </w:rPr>
        <w:t>（六）对个人和家庭的补助：反映单位用于对个人和家庭的补助支出，包括在职职工的公积金费用。</w:t>
      </w:r>
    </w:p>
    <w:p>
      <w:pPr>
        <w:ind w:firstLine="300" w:firstLineChars="100"/>
        <w:rPr>
          <w:rFonts w:hint="eastAsia" w:ascii="仿宋" w:hAnsi="仿宋" w:eastAsia="仿宋"/>
          <w:sz w:val="30"/>
          <w:szCs w:val="30"/>
        </w:rPr>
      </w:pPr>
      <w:r>
        <w:rPr>
          <w:rFonts w:hint="eastAsia" w:ascii="仿宋" w:hAnsi="仿宋" w:eastAsia="仿宋"/>
          <w:sz w:val="30"/>
          <w:szCs w:val="30"/>
        </w:rPr>
        <w:t>（七）培训支出：反映各部门安排的用于培训的支出。</w:t>
      </w:r>
    </w:p>
    <w:p>
      <w:pPr>
        <w:ind w:firstLine="300" w:firstLineChars="100"/>
        <w:rPr>
          <w:rFonts w:hint="eastAsia" w:ascii="仿宋" w:hAnsi="仿宋" w:eastAsia="仿宋"/>
          <w:sz w:val="30"/>
          <w:szCs w:val="30"/>
        </w:rPr>
      </w:pPr>
      <w:r>
        <w:rPr>
          <w:rFonts w:hint="eastAsia" w:ascii="仿宋" w:hAnsi="仿宋" w:eastAsia="仿宋"/>
          <w:sz w:val="30"/>
          <w:szCs w:val="30"/>
        </w:rPr>
        <w:t>（八）机关事业单位基本养老保险缴费支出：反映机关事业单位实施养老保险制度由单位缴纳的基本养老保险费的支出。</w:t>
      </w:r>
    </w:p>
    <w:p>
      <w:pPr>
        <w:rPr>
          <w:rFonts w:hint="eastAsia" w:ascii="仿宋" w:hAnsi="仿宋" w:eastAsia="仿宋"/>
          <w:sz w:val="30"/>
          <w:szCs w:val="30"/>
        </w:rPr>
      </w:pPr>
      <w:r>
        <w:rPr>
          <w:rFonts w:hint="eastAsia" w:ascii="仿宋" w:hAnsi="仿宋" w:eastAsia="仿宋"/>
          <w:sz w:val="30"/>
          <w:szCs w:val="30"/>
        </w:rPr>
        <w:t>（九）行政单位医疗：反映行政事业单位基本医疗保险缴费经费。</w:t>
      </w:r>
    </w:p>
    <w:p>
      <w:pPr>
        <w:rPr>
          <w:rFonts w:hint="eastAsia" w:ascii="仿宋" w:hAnsi="仿宋" w:eastAsia="仿宋"/>
          <w:sz w:val="30"/>
          <w:szCs w:val="30"/>
        </w:rPr>
      </w:pPr>
      <w:r>
        <w:rPr>
          <w:rFonts w:hint="eastAsia" w:ascii="仿宋" w:hAnsi="仿宋" w:eastAsia="仿宋"/>
          <w:sz w:val="30"/>
          <w:szCs w:val="30"/>
        </w:rPr>
        <w:t>（十）事业单位医疗：反映财政部门集中安排的事业单位基本医疗保险缴费经费。</w:t>
      </w:r>
    </w:p>
    <w:p>
      <w:pPr>
        <w:widowControl/>
        <w:spacing w:line="580" w:lineRule="exact"/>
        <w:jc w:val="left"/>
        <w:rPr>
          <w:rFonts w:hint="eastAsia" w:ascii="仿宋" w:hAnsi="仿宋" w:eastAsia="仿宋"/>
          <w:kern w:val="0"/>
          <w:sz w:val="30"/>
          <w:szCs w:val="30"/>
        </w:rPr>
      </w:pPr>
    </w:p>
    <w:p>
      <w:pPr>
        <w:ind w:firstLine="630"/>
        <w:jc w:val="left"/>
        <w:rPr>
          <w:rFonts w:ascii="仿宋" w:hAnsi="仿宋" w:eastAsia="仿宋"/>
          <w:sz w:val="30"/>
          <w:szCs w:val="30"/>
        </w:rPr>
      </w:pPr>
    </w:p>
    <w:p>
      <w:pPr>
        <w:jc w:val="left"/>
      </w:pPr>
    </w:p>
    <w:p>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00377CEA"/>
    <w:rsid w:val="00377CEA"/>
    <w:rsid w:val="04B741A4"/>
    <w:rsid w:val="052309C8"/>
    <w:rsid w:val="18535204"/>
    <w:rsid w:val="1E44048F"/>
    <w:rsid w:val="58A72E1B"/>
    <w:rsid w:val="5C512F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6">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13</Pages>
  <Words>660</Words>
  <Characters>3762</Characters>
  <Lines>31</Lines>
  <Paragraphs>8</Paragraphs>
  <TotalTime>7</TotalTime>
  <ScaleCrop>false</ScaleCrop>
  <LinksUpToDate>false</LinksUpToDate>
  <CharactersWithSpaces>4414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查</dc:creator>
  <cp:lastModifiedBy>单车</cp:lastModifiedBy>
  <dcterms:modified xsi:type="dcterms:W3CDTF">2024-04-17T01:48:58Z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7A0F385AEAB848DAAFFF7A4CFF73858F_13</vt:lpwstr>
  </property>
</Properties>
</file>