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61" w:rsidRPr="00C71561" w:rsidRDefault="00C71561" w:rsidP="00CA0FA6">
      <w:pPr>
        <w:pStyle w:val="a5"/>
        <w:shd w:val="clear" w:color="auto" w:fill="FFFFFF"/>
        <w:spacing w:line="360" w:lineRule="auto"/>
        <w:ind w:firstLine="640"/>
        <w:jc w:val="center"/>
        <w:rPr>
          <w:rFonts w:ascii="仿宋" w:eastAsia="仿宋" w:hAnsi="仿宋" w:cs="黑体"/>
          <w:color w:val="444444"/>
          <w:sz w:val="36"/>
          <w:szCs w:val="36"/>
        </w:rPr>
      </w:pPr>
      <w:r w:rsidRPr="00C71561">
        <w:rPr>
          <w:rFonts w:ascii="仿宋" w:eastAsia="仿宋" w:hAnsi="仿宋" w:cs="黑体" w:hint="eastAsia"/>
          <w:color w:val="444444"/>
          <w:sz w:val="36"/>
          <w:szCs w:val="36"/>
        </w:rPr>
        <w:t>共青城市委</w:t>
      </w:r>
      <w:r w:rsidR="005A0193">
        <w:rPr>
          <w:rFonts w:ascii="仿宋" w:eastAsia="仿宋" w:hAnsi="仿宋" w:cs="黑体" w:hint="eastAsia"/>
          <w:color w:val="444444"/>
          <w:sz w:val="36"/>
          <w:szCs w:val="36"/>
        </w:rPr>
        <w:t>合作交流中心</w:t>
      </w:r>
      <w:r w:rsidRPr="00C71561">
        <w:rPr>
          <w:rFonts w:ascii="仿宋" w:eastAsia="仿宋" w:hAnsi="仿宋" w:cs="黑体" w:hint="eastAsia"/>
          <w:color w:val="444444"/>
          <w:sz w:val="36"/>
          <w:szCs w:val="36"/>
        </w:rPr>
        <w:t>整体支出绩效自评报告</w:t>
      </w:r>
    </w:p>
    <w:p w:rsidR="00C71561" w:rsidRPr="00C71561" w:rsidRDefault="00C71561" w:rsidP="00CA0FA6">
      <w:pPr>
        <w:pStyle w:val="a5"/>
        <w:shd w:val="clear" w:color="auto" w:fill="FFFFFF"/>
        <w:spacing w:line="360" w:lineRule="auto"/>
        <w:ind w:firstLine="640"/>
        <w:jc w:val="center"/>
        <w:rPr>
          <w:rFonts w:ascii="仿宋" w:eastAsia="仿宋" w:hAnsi="仿宋" w:cs="黑体"/>
          <w:color w:val="444444"/>
          <w:sz w:val="30"/>
          <w:szCs w:val="30"/>
        </w:rPr>
      </w:pPr>
      <w:r w:rsidRPr="00C71561">
        <w:rPr>
          <w:rFonts w:ascii="仿宋" w:eastAsia="仿宋" w:hAnsi="仿宋" w:cs="黑体" w:hint="eastAsia"/>
          <w:color w:val="444444"/>
          <w:sz w:val="30"/>
          <w:szCs w:val="30"/>
        </w:rPr>
        <w:t>（20</w:t>
      </w:r>
      <w:r w:rsidR="002C31B9">
        <w:rPr>
          <w:rFonts w:ascii="仿宋" w:eastAsia="仿宋" w:hAnsi="仿宋" w:cs="黑体" w:hint="eastAsia"/>
          <w:color w:val="444444"/>
          <w:sz w:val="30"/>
          <w:szCs w:val="30"/>
        </w:rPr>
        <w:t>2</w:t>
      </w:r>
      <w:r w:rsidR="00184EB8">
        <w:rPr>
          <w:rFonts w:ascii="仿宋" w:eastAsia="仿宋" w:hAnsi="仿宋" w:cs="黑体" w:hint="eastAsia"/>
          <w:color w:val="444444"/>
          <w:sz w:val="30"/>
          <w:szCs w:val="30"/>
        </w:rPr>
        <w:t>2</w:t>
      </w:r>
      <w:r w:rsidRPr="00C71561">
        <w:rPr>
          <w:rFonts w:ascii="仿宋" w:eastAsia="仿宋" w:hAnsi="仿宋" w:cs="黑体" w:hint="eastAsia"/>
          <w:color w:val="444444"/>
          <w:sz w:val="30"/>
          <w:szCs w:val="30"/>
        </w:rPr>
        <w:t>年度）</w:t>
      </w:r>
    </w:p>
    <w:p w:rsidR="00C71561" w:rsidRDefault="00C71561" w:rsidP="00CA0FA6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rFonts w:ascii="仿宋" w:eastAsia="仿宋" w:hAnsi="仿宋" w:cs="黑体"/>
          <w:color w:val="444444"/>
          <w:sz w:val="30"/>
          <w:szCs w:val="30"/>
        </w:rPr>
      </w:pPr>
      <w:r w:rsidRPr="00C71561">
        <w:rPr>
          <w:rFonts w:ascii="仿宋" w:eastAsia="仿宋" w:hAnsi="仿宋" w:cs="黑体" w:hint="eastAsia"/>
          <w:color w:val="444444"/>
          <w:sz w:val="30"/>
          <w:szCs w:val="30"/>
        </w:rPr>
        <w:t>部门（单位）概况</w:t>
      </w:r>
    </w:p>
    <w:p w:rsidR="005A0193" w:rsidRPr="005A0193" w:rsidRDefault="005A0193" w:rsidP="005A0193">
      <w:pPr>
        <w:spacing w:line="560" w:lineRule="exact"/>
        <w:ind w:left="640"/>
        <w:rPr>
          <w:rFonts w:ascii="仿宋" w:eastAsia="仿宋" w:hAnsi="仿宋" w:cs="黑体"/>
          <w:color w:val="444444"/>
          <w:sz w:val="30"/>
          <w:szCs w:val="30"/>
        </w:rPr>
      </w:pPr>
      <w:r w:rsidRPr="005A0193">
        <w:rPr>
          <w:rFonts w:ascii="仿宋" w:eastAsia="仿宋" w:hAnsi="仿宋" w:cs="黑体" w:hint="eastAsia"/>
          <w:color w:val="444444"/>
          <w:sz w:val="30"/>
          <w:szCs w:val="30"/>
        </w:rPr>
        <w:t>（一）负责党中央、国务院等有关部门、本省及外省（区、市）的副厅级及以上领导来我市的交流联络工作。</w:t>
      </w:r>
    </w:p>
    <w:p w:rsidR="005A0193" w:rsidRPr="005A0193" w:rsidRDefault="005A0193" w:rsidP="005A0193">
      <w:pPr>
        <w:spacing w:line="560" w:lineRule="exact"/>
        <w:ind w:firstLineChars="200" w:firstLine="600"/>
        <w:rPr>
          <w:rFonts w:ascii="仿宋" w:eastAsia="仿宋" w:hAnsi="仿宋" w:cs="黑体"/>
          <w:color w:val="444444"/>
          <w:sz w:val="30"/>
          <w:szCs w:val="30"/>
        </w:rPr>
      </w:pPr>
      <w:r w:rsidRPr="005A0193">
        <w:rPr>
          <w:rFonts w:ascii="仿宋" w:eastAsia="仿宋" w:hAnsi="仿宋" w:cs="黑体" w:hint="eastAsia"/>
          <w:color w:val="444444"/>
          <w:sz w:val="30"/>
          <w:szCs w:val="30"/>
        </w:rPr>
        <w:t>（二）负责九江市四套</w:t>
      </w:r>
      <w:proofErr w:type="gramStart"/>
      <w:r w:rsidRPr="005A0193">
        <w:rPr>
          <w:rFonts w:ascii="仿宋" w:eastAsia="仿宋" w:hAnsi="仿宋" w:cs="黑体" w:hint="eastAsia"/>
          <w:color w:val="444444"/>
          <w:sz w:val="30"/>
          <w:szCs w:val="30"/>
        </w:rPr>
        <w:t>班子副</w:t>
      </w:r>
      <w:proofErr w:type="gramEnd"/>
      <w:r w:rsidRPr="005A0193">
        <w:rPr>
          <w:rFonts w:ascii="仿宋" w:eastAsia="仿宋" w:hAnsi="仿宋" w:cs="黑体" w:hint="eastAsia"/>
          <w:color w:val="444444"/>
          <w:sz w:val="30"/>
          <w:szCs w:val="30"/>
        </w:rPr>
        <w:t>厅级及以上领导来我市的交流联络工作。负责外县（市、区）党政考察团来我市的交流联络工作。</w:t>
      </w:r>
    </w:p>
    <w:p w:rsidR="005A0193" w:rsidRDefault="005A0193" w:rsidP="005A0193">
      <w:pPr>
        <w:spacing w:line="560" w:lineRule="exact"/>
        <w:ind w:firstLineChars="250" w:firstLine="750"/>
        <w:rPr>
          <w:rFonts w:ascii="仿宋" w:eastAsia="仿宋" w:hAnsi="仿宋" w:cs="黑体"/>
          <w:color w:val="444444"/>
          <w:sz w:val="30"/>
          <w:szCs w:val="30"/>
        </w:rPr>
      </w:pPr>
      <w:r w:rsidRPr="005A0193">
        <w:rPr>
          <w:rFonts w:ascii="仿宋" w:eastAsia="仿宋" w:hAnsi="仿宋" w:cs="黑体" w:hint="eastAsia"/>
          <w:color w:val="444444"/>
          <w:sz w:val="30"/>
          <w:szCs w:val="30"/>
        </w:rPr>
        <w:t>（三）负责我市党政考察团赴外县（市、区）的交流联络工作。</w:t>
      </w:r>
    </w:p>
    <w:p w:rsidR="005A0193" w:rsidRPr="005A0193" w:rsidRDefault="005A0193" w:rsidP="005A0193">
      <w:pPr>
        <w:spacing w:line="560" w:lineRule="exact"/>
        <w:ind w:firstLineChars="250" w:firstLine="750"/>
        <w:rPr>
          <w:rFonts w:ascii="仿宋" w:eastAsia="仿宋" w:hAnsi="仿宋" w:cs="黑体"/>
          <w:color w:val="444444"/>
          <w:sz w:val="30"/>
          <w:szCs w:val="30"/>
        </w:rPr>
      </w:pPr>
      <w:r w:rsidRPr="005A0193">
        <w:rPr>
          <w:rFonts w:ascii="仿宋" w:eastAsia="仿宋" w:hAnsi="仿宋" w:cs="黑体" w:hint="eastAsia"/>
          <w:color w:val="444444"/>
          <w:sz w:val="30"/>
          <w:szCs w:val="30"/>
        </w:rPr>
        <w:t>（四）完成市委、市政府交办的其他任务。</w:t>
      </w:r>
    </w:p>
    <w:p w:rsidR="00C71561" w:rsidRPr="00C71561" w:rsidRDefault="00C71561" w:rsidP="00CA0FA6">
      <w:pPr>
        <w:spacing w:line="360" w:lineRule="auto"/>
        <w:ind w:firstLineChars="200" w:firstLine="600"/>
        <w:rPr>
          <w:rFonts w:ascii="仿宋" w:eastAsia="仿宋" w:hAnsi="仿宋" w:cs="黑体"/>
          <w:color w:val="444444"/>
          <w:sz w:val="30"/>
          <w:szCs w:val="30"/>
        </w:rPr>
      </w:pPr>
      <w:r>
        <w:rPr>
          <w:rFonts w:ascii="仿宋" w:eastAsia="仿宋" w:hAnsi="仿宋" w:cs="黑体" w:hint="eastAsia"/>
          <w:color w:val="444444"/>
          <w:sz w:val="30"/>
          <w:szCs w:val="30"/>
        </w:rPr>
        <w:t>市委</w:t>
      </w:r>
      <w:r w:rsidR="005A0193">
        <w:rPr>
          <w:rFonts w:ascii="仿宋" w:eastAsia="仿宋" w:hAnsi="仿宋" w:cs="黑体" w:hint="eastAsia"/>
          <w:color w:val="444444"/>
          <w:sz w:val="30"/>
          <w:szCs w:val="30"/>
        </w:rPr>
        <w:t>合作交流中心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共有预算单位1个。核定编制人数</w:t>
      </w:r>
      <w:r w:rsidR="005A0193">
        <w:rPr>
          <w:rFonts w:ascii="仿宋" w:eastAsia="仿宋" w:hAnsi="仿宋" w:cs="黑体" w:hint="eastAsia"/>
          <w:color w:val="444444"/>
          <w:sz w:val="30"/>
          <w:szCs w:val="30"/>
        </w:rPr>
        <w:t>16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人，事业编制</w:t>
      </w:r>
      <w:r w:rsidR="005A0193">
        <w:rPr>
          <w:rFonts w:ascii="仿宋" w:eastAsia="仿宋" w:hAnsi="仿宋" w:cs="黑体" w:hint="eastAsia"/>
          <w:color w:val="444444"/>
          <w:sz w:val="30"/>
          <w:szCs w:val="30"/>
        </w:rPr>
        <w:t>16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名</w:t>
      </w:r>
      <w:r w:rsidR="000F0775">
        <w:rPr>
          <w:rFonts w:ascii="仿宋" w:eastAsia="仿宋" w:hAnsi="仿宋" w:cs="黑体" w:hint="eastAsia"/>
          <w:color w:val="444444"/>
          <w:sz w:val="30"/>
          <w:szCs w:val="30"/>
        </w:rPr>
        <w:t>。目前，</w:t>
      </w:r>
      <w:r w:rsidR="000F0775" w:rsidRPr="000F0775">
        <w:rPr>
          <w:rFonts w:ascii="仿宋" w:eastAsia="仿宋" w:hAnsi="仿宋" w:cs="黑体" w:hint="eastAsia"/>
          <w:color w:val="444444"/>
          <w:sz w:val="30"/>
          <w:szCs w:val="30"/>
        </w:rPr>
        <w:t>实有人数</w:t>
      </w:r>
      <w:r w:rsidR="00184EB8">
        <w:rPr>
          <w:rFonts w:ascii="仿宋" w:eastAsia="仿宋" w:hAnsi="仿宋" w:cs="黑体" w:hint="eastAsia"/>
          <w:color w:val="444444"/>
          <w:sz w:val="30"/>
          <w:szCs w:val="30"/>
        </w:rPr>
        <w:t>6</w:t>
      </w:r>
      <w:r w:rsidR="000F0775" w:rsidRPr="000F0775">
        <w:rPr>
          <w:rFonts w:ascii="仿宋" w:eastAsia="仿宋" w:hAnsi="仿宋" w:cs="黑体" w:hint="eastAsia"/>
          <w:color w:val="444444"/>
          <w:sz w:val="30"/>
          <w:szCs w:val="30"/>
        </w:rPr>
        <w:t>人，其中：全额补助事业编制</w:t>
      </w:r>
      <w:r w:rsidR="00184EB8">
        <w:rPr>
          <w:rFonts w:ascii="仿宋" w:eastAsia="仿宋" w:hAnsi="仿宋" w:cs="黑体" w:hint="eastAsia"/>
          <w:color w:val="444444"/>
          <w:sz w:val="30"/>
          <w:szCs w:val="30"/>
        </w:rPr>
        <w:t>6</w:t>
      </w:r>
      <w:r w:rsidR="000F0775" w:rsidRPr="000F0775">
        <w:rPr>
          <w:rFonts w:ascii="仿宋" w:eastAsia="仿宋" w:hAnsi="仿宋" w:cs="黑体" w:hint="eastAsia"/>
          <w:color w:val="444444"/>
          <w:sz w:val="30"/>
          <w:szCs w:val="30"/>
        </w:rPr>
        <w:t>人。</w:t>
      </w:r>
    </w:p>
    <w:p w:rsidR="00C71561" w:rsidRDefault="00C06635" w:rsidP="00CA0FA6">
      <w:pPr>
        <w:spacing w:line="360" w:lineRule="auto"/>
        <w:ind w:firstLineChars="200" w:firstLine="600"/>
        <w:rPr>
          <w:rFonts w:ascii="仿宋" w:eastAsia="仿宋" w:hAnsi="仿宋" w:cs="黑体"/>
          <w:color w:val="444444"/>
          <w:sz w:val="30"/>
          <w:szCs w:val="30"/>
        </w:rPr>
      </w:pPr>
      <w:r>
        <w:rPr>
          <w:rFonts w:ascii="仿宋" w:eastAsia="仿宋" w:hAnsi="仿宋" w:cs="黑体" w:hint="eastAsia"/>
          <w:color w:val="444444"/>
          <w:sz w:val="30"/>
          <w:szCs w:val="30"/>
        </w:rPr>
        <w:t>资产方面：资产净值</w:t>
      </w:r>
      <w:r w:rsidR="002E5F3F">
        <w:rPr>
          <w:rFonts w:ascii="仿宋" w:eastAsia="仿宋" w:hAnsi="仿宋" w:cs="黑体" w:hint="eastAsia"/>
          <w:color w:val="444444"/>
          <w:sz w:val="30"/>
          <w:szCs w:val="30"/>
        </w:rPr>
        <w:t>117399.4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元，其中通用设备资产净值</w:t>
      </w:r>
      <w:r w:rsidR="002E5F3F">
        <w:rPr>
          <w:rFonts w:ascii="仿宋" w:eastAsia="仿宋" w:hAnsi="仿宋" w:cs="黑体" w:hint="eastAsia"/>
          <w:color w:val="444444"/>
          <w:sz w:val="30"/>
          <w:szCs w:val="30"/>
        </w:rPr>
        <w:t>42065.56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元、</w:t>
      </w:r>
      <w:r w:rsidRPr="00C06635">
        <w:rPr>
          <w:rFonts w:ascii="仿宋" w:eastAsia="仿宋" w:hAnsi="仿宋" w:cs="黑体" w:hint="eastAsia"/>
          <w:color w:val="444444"/>
          <w:sz w:val="30"/>
          <w:szCs w:val="30"/>
        </w:rPr>
        <w:t>家具、用具、装具及动植物</w:t>
      </w:r>
      <w:r w:rsidR="002E5F3F">
        <w:rPr>
          <w:rFonts w:ascii="仿宋" w:eastAsia="仿宋" w:hAnsi="仿宋" w:cs="黑体" w:hint="eastAsia"/>
          <w:color w:val="444444"/>
          <w:sz w:val="30"/>
          <w:szCs w:val="30"/>
        </w:rPr>
        <w:t>75333.84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元。</w:t>
      </w:r>
    </w:p>
    <w:p w:rsidR="00953BDC" w:rsidRDefault="00953BDC" w:rsidP="00CA0FA6">
      <w:pPr>
        <w:spacing w:line="360" w:lineRule="auto"/>
        <w:rPr>
          <w:rFonts w:ascii="仿宋" w:eastAsia="仿宋" w:hAnsi="仿宋" w:cs="黑体"/>
          <w:color w:val="444444"/>
          <w:sz w:val="30"/>
          <w:szCs w:val="30"/>
        </w:rPr>
      </w:pPr>
      <w:r w:rsidRPr="00953BDC">
        <w:rPr>
          <w:rFonts w:ascii="仿宋" w:eastAsia="仿宋" w:hAnsi="仿宋" w:cs="黑体" w:hint="eastAsia"/>
          <w:color w:val="444444"/>
          <w:sz w:val="30"/>
          <w:szCs w:val="30"/>
        </w:rPr>
        <w:t>（二）当年部门（单位）履职总体目标、工作任务。</w:t>
      </w:r>
    </w:p>
    <w:p w:rsidR="00420250" w:rsidRDefault="00420250" w:rsidP="00CA0FA6">
      <w:pPr>
        <w:spacing w:line="360" w:lineRule="auto"/>
        <w:ind w:firstLineChars="250" w:firstLine="750"/>
        <w:rPr>
          <w:rFonts w:ascii="仿宋" w:eastAsia="仿宋" w:hAnsi="仿宋" w:cs="黑体"/>
          <w:color w:val="444444"/>
          <w:sz w:val="30"/>
          <w:szCs w:val="30"/>
        </w:rPr>
      </w:pPr>
      <w:r w:rsidRPr="00477AF1">
        <w:rPr>
          <w:rFonts w:ascii="仿宋" w:eastAsia="仿宋" w:hAnsi="仿宋" w:cs="黑体" w:hint="eastAsia"/>
          <w:color w:val="444444"/>
          <w:sz w:val="30"/>
          <w:szCs w:val="30"/>
        </w:rPr>
        <w:t>保障市委</w:t>
      </w:r>
      <w:r w:rsidR="00D10A4E">
        <w:rPr>
          <w:rFonts w:ascii="仿宋" w:eastAsia="仿宋" w:hAnsi="仿宋" w:cs="黑体" w:hint="eastAsia"/>
          <w:color w:val="444444"/>
          <w:sz w:val="30"/>
          <w:szCs w:val="30"/>
        </w:rPr>
        <w:t>合作交流中心</w:t>
      </w:r>
      <w:r w:rsidRPr="00477AF1">
        <w:rPr>
          <w:rFonts w:ascii="仿宋" w:eastAsia="仿宋" w:hAnsi="仿宋" w:cs="黑体" w:hint="eastAsia"/>
          <w:color w:val="444444"/>
          <w:sz w:val="30"/>
          <w:szCs w:val="30"/>
        </w:rPr>
        <w:t>各项工作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正常、</w:t>
      </w:r>
      <w:r w:rsidRPr="00477AF1">
        <w:rPr>
          <w:rFonts w:ascii="仿宋" w:eastAsia="仿宋" w:hAnsi="仿宋" w:cs="黑体" w:hint="eastAsia"/>
          <w:color w:val="444444"/>
          <w:sz w:val="30"/>
          <w:szCs w:val="30"/>
        </w:rPr>
        <w:t>高效运转</w:t>
      </w:r>
    </w:p>
    <w:p w:rsidR="00953BDC" w:rsidRDefault="00953BDC" w:rsidP="00CA0FA6">
      <w:pPr>
        <w:spacing w:line="360" w:lineRule="auto"/>
        <w:rPr>
          <w:rFonts w:ascii="仿宋" w:eastAsia="仿宋" w:hAnsi="仿宋" w:cs="黑体"/>
          <w:color w:val="444444"/>
          <w:sz w:val="30"/>
          <w:szCs w:val="30"/>
        </w:rPr>
      </w:pPr>
      <w:r w:rsidRPr="00953BDC">
        <w:rPr>
          <w:rFonts w:ascii="仿宋" w:eastAsia="仿宋" w:hAnsi="仿宋" w:cs="黑体" w:hint="eastAsia"/>
          <w:color w:val="444444"/>
          <w:sz w:val="30"/>
          <w:szCs w:val="30"/>
        </w:rPr>
        <w:t>（三）当年部门（单位）年度整体支出绩效目标。</w:t>
      </w:r>
    </w:p>
    <w:p w:rsidR="00420250" w:rsidRPr="00420250" w:rsidRDefault="00420250" w:rsidP="00CA0FA6">
      <w:pPr>
        <w:widowControl/>
        <w:shd w:val="clear" w:color="auto" w:fill="FFFFFF"/>
        <w:spacing w:line="360" w:lineRule="auto"/>
        <w:ind w:firstLineChars="200" w:firstLine="600"/>
        <w:rPr>
          <w:rFonts w:ascii="仿宋" w:eastAsia="仿宋" w:hAnsi="仿宋" w:cs="黑体"/>
          <w:color w:val="444444"/>
          <w:sz w:val="30"/>
          <w:szCs w:val="30"/>
        </w:rPr>
      </w:pPr>
      <w:r w:rsidRPr="00420250">
        <w:rPr>
          <w:rFonts w:ascii="仿宋" w:eastAsia="仿宋" w:hAnsi="仿宋" w:cs="黑体" w:hint="eastAsia"/>
          <w:color w:val="444444"/>
          <w:sz w:val="30"/>
          <w:szCs w:val="30"/>
        </w:rPr>
        <w:t>目标1：保障人员支出和单位正常运转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；</w:t>
      </w:r>
    </w:p>
    <w:p w:rsidR="00420250" w:rsidRPr="00420250" w:rsidRDefault="00420250" w:rsidP="00CA0FA6">
      <w:pPr>
        <w:widowControl/>
        <w:shd w:val="clear" w:color="auto" w:fill="FFFFFF"/>
        <w:spacing w:line="360" w:lineRule="auto"/>
        <w:ind w:firstLineChars="200" w:firstLine="600"/>
        <w:rPr>
          <w:rFonts w:ascii="仿宋" w:eastAsia="仿宋" w:hAnsi="仿宋" w:cs="黑体"/>
          <w:color w:val="444444"/>
          <w:sz w:val="30"/>
          <w:szCs w:val="30"/>
        </w:rPr>
      </w:pPr>
      <w:r w:rsidRPr="00420250">
        <w:rPr>
          <w:rFonts w:ascii="仿宋" w:eastAsia="仿宋" w:hAnsi="仿宋" w:cs="黑体" w:hint="eastAsia"/>
          <w:color w:val="444444"/>
          <w:sz w:val="30"/>
          <w:szCs w:val="30"/>
        </w:rPr>
        <w:t>目标2：严格按照财务规章制度做好各项支出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；</w:t>
      </w:r>
    </w:p>
    <w:p w:rsidR="00420250" w:rsidRPr="00420250" w:rsidRDefault="00420250" w:rsidP="00CA0FA6">
      <w:pPr>
        <w:widowControl/>
        <w:shd w:val="clear" w:color="auto" w:fill="FFFFFF"/>
        <w:spacing w:line="360" w:lineRule="auto"/>
        <w:ind w:firstLineChars="200" w:firstLine="600"/>
        <w:rPr>
          <w:rFonts w:ascii="仿宋" w:eastAsia="仿宋" w:hAnsi="仿宋" w:cs="黑体"/>
          <w:color w:val="444444"/>
          <w:sz w:val="30"/>
          <w:szCs w:val="30"/>
        </w:rPr>
      </w:pPr>
      <w:r w:rsidRPr="00420250">
        <w:rPr>
          <w:rFonts w:ascii="仿宋" w:eastAsia="仿宋" w:hAnsi="仿宋" w:cs="黑体" w:hint="eastAsia"/>
          <w:color w:val="444444"/>
          <w:sz w:val="30"/>
          <w:szCs w:val="30"/>
        </w:rPr>
        <w:t>目标3：加强财务监督，杜绝不合理开支</w:t>
      </w:r>
      <w:r>
        <w:rPr>
          <w:rFonts w:ascii="仿宋" w:eastAsia="仿宋" w:hAnsi="仿宋" w:cs="黑体" w:hint="eastAsia"/>
          <w:color w:val="444444"/>
          <w:sz w:val="30"/>
          <w:szCs w:val="30"/>
        </w:rPr>
        <w:t>。</w:t>
      </w:r>
    </w:p>
    <w:tbl>
      <w:tblPr>
        <w:tblW w:w="10760" w:type="dxa"/>
        <w:tblInd w:w="93" w:type="dxa"/>
        <w:tblLook w:val="04A0" w:firstRow="1" w:lastRow="0" w:firstColumn="1" w:lastColumn="0" w:noHBand="0" w:noVBand="1"/>
      </w:tblPr>
      <w:tblGrid>
        <w:gridCol w:w="10760"/>
      </w:tblGrid>
      <w:tr w:rsidR="00953BDC" w:rsidRPr="00953BDC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Default="00953BDC" w:rsidP="00CA0FA6">
            <w:pPr>
              <w:spacing w:line="360" w:lineRule="auto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953BDC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（四）部门（单位）预算绩效管理开展情况。</w:t>
            </w:r>
          </w:p>
          <w:p w:rsidR="007448AA" w:rsidRPr="00953BDC" w:rsidRDefault="00D10A4E" w:rsidP="00D10A4E">
            <w:pPr>
              <w:spacing w:line="360" w:lineRule="auto"/>
              <w:ind w:firstLineChars="200" w:firstLine="60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每一个项目都做了项目绩效评价，整体做了整体支出绩效自评。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E15" w:rsidRDefault="00953BDC" w:rsidP="00CA0FA6">
            <w:pPr>
              <w:spacing w:line="360" w:lineRule="auto"/>
              <w:ind w:firstLineChars="200" w:firstLine="60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953BDC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（五）当年部门（单位）预算及执行情况。</w:t>
            </w:r>
          </w:p>
          <w:p w:rsidR="00654E15" w:rsidRPr="00953BDC" w:rsidRDefault="00D10A4E" w:rsidP="002E5F3F">
            <w:pPr>
              <w:spacing w:line="360" w:lineRule="auto"/>
              <w:ind w:firstLineChars="200" w:firstLine="60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202</w:t>
            </w:r>
            <w:r w:rsidR="002E5F3F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2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年预算收入总计为</w:t>
            </w:r>
            <w:r w:rsidR="002E5F3F" w:rsidRPr="00B615C0">
              <w:rPr>
                <w:rFonts w:ascii="仿宋" w:eastAsia="仿宋" w:hAnsi="仿宋" w:hint="eastAsia"/>
                <w:sz w:val="32"/>
              </w:rPr>
              <w:t>434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万元，决算收入总计为</w:t>
            </w:r>
            <w:r w:rsidR="002E5F3F" w:rsidRPr="00B615C0">
              <w:rPr>
                <w:rFonts w:ascii="仿宋" w:eastAsia="仿宋" w:hAnsi="仿宋" w:hint="eastAsia"/>
                <w:sz w:val="32"/>
              </w:rPr>
              <w:t>362.85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万元，</w:t>
            </w:r>
            <w:r>
              <w:rPr>
                <w:rFonts w:ascii="仿宋" w:eastAsia="仿宋" w:hAnsi="仿宋" w:cs="黑体"/>
                <w:color w:val="444444"/>
                <w:sz w:val="30"/>
                <w:szCs w:val="30"/>
              </w:rPr>
              <w:br/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lastRenderedPageBreak/>
              <w:t>执行率为</w:t>
            </w:r>
            <w:r w:rsidR="002E5F3F" w:rsidRPr="00B615C0">
              <w:rPr>
                <w:rFonts w:ascii="仿宋" w:eastAsia="仿宋" w:hAnsi="仿宋" w:hint="eastAsia"/>
                <w:sz w:val="32"/>
              </w:rPr>
              <w:t>83.61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%。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Pr="00CA0FA6" w:rsidRDefault="00953BDC" w:rsidP="00CA0FA6">
            <w:pPr>
              <w:pStyle w:val="a5"/>
              <w:shd w:val="clear" w:color="auto" w:fill="FFFFFF"/>
              <w:spacing w:line="360" w:lineRule="auto"/>
              <w:rPr>
                <w:rFonts w:ascii="仿宋" w:eastAsia="仿宋" w:hAnsi="仿宋" w:cs="黑体"/>
                <w:color w:val="444444"/>
                <w:kern w:val="2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kern w:val="2"/>
                <w:sz w:val="30"/>
                <w:szCs w:val="30"/>
              </w:rPr>
              <w:lastRenderedPageBreak/>
              <w:t>二、部门（单位）整体支出绩效实现情况</w:t>
            </w:r>
          </w:p>
        </w:tc>
      </w:tr>
      <w:tr w:rsidR="00953BDC" w:rsidRPr="00CA0FA6" w:rsidTr="00953BDC">
        <w:trPr>
          <w:trHeight w:val="1080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Pr="00953BDC" w:rsidRDefault="00953BDC" w:rsidP="00CA0FA6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953BDC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履职完成情况：从数量、质量、时效等方面归纳反映年度主要计划</w:t>
            </w:r>
          </w:p>
          <w:p w:rsidR="00953BDC" w:rsidRDefault="00953BDC" w:rsidP="00CA0FA6">
            <w:pPr>
              <w:spacing w:line="360" w:lineRule="auto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953BDC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任务完成情况。</w:t>
            </w:r>
          </w:p>
          <w:p w:rsidR="00530E32" w:rsidRPr="00953BDC" w:rsidRDefault="00530E32" w:rsidP="002E5F3F">
            <w:pPr>
              <w:spacing w:line="360" w:lineRule="auto"/>
              <w:ind w:firstLineChars="200" w:firstLine="60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20</w:t>
            </w:r>
            <w:r w:rsidR="000770EA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2</w:t>
            </w:r>
            <w:r w:rsidR="002E5F3F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2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年预算收入总计为</w:t>
            </w:r>
            <w:r w:rsidR="002E5F3F" w:rsidRPr="00B615C0">
              <w:rPr>
                <w:rFonts w:ascii="仿宋" w:eastAsia="仿宋" w:hAnsi="仿宋" w:hint="eastAsia"/>
                <w:sz w:val="32"/>
              </w:rPr>
              <w:t>434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万元，决算收入总计为</w:t>
            </w:r>
            <w:r w:rsidR="002E5F3F" w:rsidRPr="00B615C0">
              <w:rPr>
                <w:rFonts w:ascii="仿宋" w:eastAsia="仿宋" w:hAnsi="仿宋" w:hint="eastAsia"/>
                <w:sz w:val="32"/>
              </w:rPr>
              <w:t>362.85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万元，</w:t>
            </w:r>
            <w:r w:rsidR="002E5F3F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执行率为</w:t>
            </w:r>
            <w:r w:rsidR="002E5F3F" w:rsidRPr="00B615C0">
              <w:rPr>
                <w:rFonts w:ascii="仿宋" w:eastAsia="仿宋" w:hAnsi="仿宋" w:hint="eastAsia"/>
                <w:sz w:val="32"/>
              </w:rPr>
              <w:t>83.61</w:t>
            </w:r>
            <w:r w:rsidR="002E5F3F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%</w:t>
            </w: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。单位报账整体及时准确。</w:t>
            </w:r>
          </w:p>
        </w:tc>
      </w:tr>
      <w:tr w:rsidR="00953BDC" w:rsidRPr="00CA0FA6" w:rsidTr="00953BDC">
        <w:trPr>
          <w:trHeight w:val="1009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Default="002369BA" w:rsidP="00CA0FA6">
            <w:pPr>
              <w:spacing w:line="360" w:lineRule="auto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（二）履职效果情况：</w:t>
            </w:r>
            <w:bookmarkStart w:id="0" w:name="_GoBack"/>
            <w:bookmarkEnd w:id="0"/>
          </w:p>
          <w:p w:rsidR="004E10ED" w:rsidRPr="00E2506D" w:rsidRDefault="00477AF1" w:rsidP="004E10ED">
            <w:pPr>
              <w:ind w:firstLineChars="200" w:firstLine="60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477AF1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紧紧围绕全市发展大局和市委中心工作，</w:t>
            </w:r>
            <w:r w:rsidR="004E10ED" w:rsidRPr="00E2506D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以进一步提高接待能力和服务水平为重点，以构建“大接待”为目标，以特色接待为突破口，创新与服务并举，紧紧围绕制度建设与优化接待服务并重，努力提升业务水平这个中心，扎实做好接待工作，取得了显著成效，圆满完成了各项工作任务。</w:t>
            </w:r>
          </w:p>
          <w:p w:rsidR="00420250" w:rsidRPr="00953BDC" w:rsidRDefault="00420250" w:rsidP="00BF7231">
            <w:pPr>
              <w:spacing w:line="360" w:lineRule="auto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（三）</w:t>
            </w:r>
            <w:r w:rsidRPr="00420250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社会满意度及可持续性影响。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E32" w:rsidRPr="00A31B7D" w:rsidRDefault="004E10ED" w:rsidP="004E10ED">
            <w:pPr>
              <w:ind w:firstLineChars="200" w:firstLine="600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B520A2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紧紧围绕中心工作，进一步完善接待机制，规范接待措施与方式，强化队伍建设和基地建设，充分发挥接待工作优势和特点为经济工作服好务。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Pr="00CA0FA6" w:rsidRDefault="00953BDC" w:rsidP="00CA0FA6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三、部门（单位）整体支出绩效中存在问题及改进措施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Pr="00CA0FA6" w:rsidRDefault="00953BDC" w:rsidP="00CA0FA6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主要问题及原因分析</w:t>
            </w:r>
          </w:p>
          <w:p w:rsidR="007314F8" w:rsidRPr="00CA0FA6" w:rsidRDefault="007314F8" w:rsidP="00CA0FA6">
            <w:pPr>
              <w:pStyle w:val="a6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预算编制还存在年中调整的情况，原因：预算编制考</w:t>
            </w:r>
            <w:r w:rsidR="00F755C3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虑的不够全面，各科室对预算编制不够专业、主观</w:t>
            </w:r>
            <w:r w:rsidR="00420250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认为预算编制是财务部一个部门的</w:t>
            </w:r>
            <w:proofErr w:type="gramStart"/>
            <w:r w:rsidR="00420250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事</w:t>
            </w:r>
            <w:r w:rsidR="00F755C3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而且</w:t>
            </w:r>
            <w:proofErr w:type="gramEnd"/>
            <w:r w:rsidR="00420250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客观上</w:t>
            </w:r>
            <w:r w:rsidR="00F755C3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很多费用</w:t>
            </w:r>
            <w:r w:rsidR="00420250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的确也</w:t>
            </w:r>
            <w:r w:rsidR="00F755C3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无法明细到具体科室。</w:t>
            </w:r>
          </w:p>
          <w:p w:rsidR="00477AF1" w:rsidRPr="00CA0FA6" w:rsidRDefault="00477AF1" w:rsidP="00CA0FA6">
            <w:pPr>
              <w:pStyle w:val="a6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整体绩效评价质量待提高，原因：财务人员长期以来只关注业务能力的提升。没有参与整个单位管理、为管理者提供财务管理信息的意识</w:t>
            </w:r>
            <w:r w:rsidR="00530E32"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。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Pr="00CA0FA6" w:rsidRDefault="00953BDC" w:rsidP="00CA0FA6">
            <w:pPr>
              <w:pStyle w:val="a6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改进的方向和具体措施</w:t>
            </w:r>
          </w:p>
          <w:p w:rsidR="00F755C3" w:rsidRPr="00CA0FA6" w:rsidRDefault="00F755C3" w:rsidP="00CA0FA6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进一步提高部门预算基本支出的财政保障水平；</w:t>
            </w:r>
          </w:p>
          <w:p w:rsidR="00F755C3" w:rsidRPr="00CA0FA6" w:rsidRDefault="00F755C3" w:rsidP="00CA0FA6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lastRenderedPageBreak/>
              <w:t>加强预算管理、严格预算执行、科学编制预算；</w:t>
            </w:r>
          </w:p>
          <w:p w:rsidR="00F755C3" w:rsidRPr="00CA0FA6" w:rsidRDefault="00F755C3" w:rsidP="00CA0FA6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加强预算绩效评价业务指导，建立绩效评价长效机制。</w:t>
            </w:r>
          </w:p>
        </w:tc>
      </w:tr>
      <w:tr w:rsidR="00953BDC" w:rsidRPr="00CA0FA6" w:rsidTr="00953BDC">
        <w:trPr>
          <w:trHeight w:val="638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C" w:rsidRPr="00CA0FA6" w:rsidRDefault="00953BDC" w:rsidP="00CA0FA6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lastRenderedPageBreak/>
              <w:t>四、绩效自评结果拟应用和公开情况</w:t>
            </w:r>
          </w:p>
          <w:p w:rsidR="00F755C3" w:rsidRPr="00CA0FA6" w:rsidRDefault="00F755C3" w:rsidP="00CA0FA6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color w:val="444444"/>
                <w:sz w:val="30"/>
                <w:szCs w:val="30"/>
              </w:rPr>
            </w:pPr>
            <w:r w:rsidRPr="00CA0FA6">
              <w:rPr>
                <w:rFonts w:ascii="仿宋" w:eastAsia="仿宋" w:hAnsi="仿宋" w:cs="黑体" w:hint="eastAsia"/>
                <w:color w:val="444444"/>
                <w:sz w:val="30"/>
                <w:szCs w:val="30"/>
              </w:rPr>
              <w:t>拟应用于下一年度的预算编制，确保下一年度的预算编制更科学、更精准。</w:t>
            </w:r>
          </w:p>
        </w:tc>
      </w:tr>
    </w:tbl>
    <w:p w:rsidR="00953BDC" w:rsidRPr="00953BDC" w:rsidRDefault="00953BDC" w:rsidP="00CA0FA6">
      <w:pPr>
        <w:spacing w:line="360" w:lineRule="auto"/>
        <w:rPr>
          <w:rFonts w:ascii="仿宋" w:eastAsia="仿宋" w:hAnsi="仿宋" w:cs="黑体"/>
          <w:color w:val="444444"/>
          <w:sz w:val="30"/>
          <w:szCs w:val="30"/>
        </w:rPr>
      </w:pPr>
    </w:p>
    <w:sectPr w:rsidR="00953BDC" w:rsidRPr="00953BDC" w:rsidSect="00CA0FA6">
      <w:pgSz w:w="11906" w:h="16838" w:code="9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A6" w:rsidRDefault="005D42A6" w:rsidP="00C71561">
      <w:r>
        <w:separator/>
      </w:r>
    </w:p>
  </w:endnote>
  <w:endnote w:type="continuationSeparator" w:id="0">
    <w:p w:rsidR="005D42A6" w:rsidRDefault="005D42A6" w:rsidP="00C7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A6" w:rsidRDefault="005D42A6" w:rsidP="00C71561">
      <w:r>
        <w:separator/>
      </w:r>
    </w:p>
  </w:footnote>
  <w:footnote w:type="continuationSeparator" w:id="0">
    <w:p w:rsidR="005D42A6" w:rsidRDefault="005D42A6" w:rsidP="00C7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A42"/>
    <w:multiLevelType w:val="hybridMultilevel"/>
    <w:tmpl w:val="4A38DC92"/>
    <w:lvl w:ilvl="0" w:tplc="B2749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133126"/>
    <w:multiLevelType w:val="hybridMultilevel"/>
    <w:tmpl w:val="52A2632A"/>
    <w:lvl w:ilvl="0" w:tplc="EB06C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A9289A"/>
    <w:multiLevelType w:val="hybridMultilevel"/>
    <w:tmpl w:val="0E38EF1E"/>
    <w:lvl w:ilvl="0" w:tplc="ACDC265C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4767F0"/>
    <w:multiLevelType w:val="hybridMultilevel"/>
    <w:tmpl w:val="E75C4FD0"/>
    <w:lvl w:ilvl="0" w:tplc="8ACAF3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9647D55"/>
    <w:multiLevelType w:val="hybridMultilevel"/>
    <w:tmpl w:val="6EB21762"/>
    <w:lvl w:ilvl="0" w:tplc="E30CF56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72124C"/>
    <w:multiLevelType w:val="hybridMultilevel"/>
    <w:tmpl w:val="3824237C"/>
    <w:lvl w:ilvl="0" w:tplc="0DACC58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07"/>
    <w:rsid w:val="000770EA"/>
    <w:rsid w:val="00097E82"/>
    <w:rsid w:val="000F0775"/>
    <w:rsid w:val="00116B68"/>
    <w:rsid w:val="00167FE9"/>
    <w:rsid w:val="00184EB8"/>
    <w:rsid w:val="002369BA"/>
    <w:rsid w:val="00242D27"/>
    <w:rsid w:val="002C31B9"/>
    <w:rsid w:val="002E5F3F"/>
    <w:rsid w:val="00420250"/>
    <w:rsid w:val="00472494"/>
    <w:rsid w:val="00477AF1"/>
    <w:rsid w:val="004E10ED"/>
    <w:rsid w:val="00530E32"/>
    <w:rsid w:val="0054715A"/>
    <w:rsid w:val="005A0193"/>
    <w:rsid w:val="005D42A6"/>
    <w:rsid w:val="00654E15"/>
    <w:rsid w:val="00685CA9"/>
    <w:rsid w:val="007314F8"/>
    <w:rsid w:val="007448AA"/>
    <w:rsid w:val="007C2FBE"/>
    <w:rsid w:val="007E37D3"/>
    <w:rsid w:val="009519AB"/>
    <w:rsid w:val="00953BDC"/>
    <w:rsid w:val="00A31B7D"/>
    <w:rsid w:val="00B161DE"/>
    <w:rsid w:val="00BF7231"/>
    <w:rsid w:val="00C06635"/>
    <w:rsid w:val="00C71561"/>
    <w:rsid w:val="00CA0FA6"/>
    <w:rsid w:val="00CA7E07"/>
    <w:rsid w:val="00D10A4E"/>
    <w:rsid w:val="00DB4AC1"/>
    <w:rsid w:val="00DB50B5"/>
    <w:rsid w:val="00E44954"/>
    <w:rsid w:val="00F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561"/>
    <w:rPr>
      <w:sz w:val="18"/>
      <w:szCs w:val="18"/>
    </w:rPr>
  </w:style>
  <w:style w:type="paragraph" w:styleId="a5">
    <w:name w:val="Normal (Web)"/>
    <w:basedOn w:val="a"/>
    <w:rsid w:val="00C71561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7156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C2F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2F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561"/>
    <w:rPr>
      <w:sz w:val="18"/>
      <w:szCs w:val="18"/>
    </w:rPr>
  </w:style>
  <w:style w:type="paragraph" w:styleId="a5">
    <w:name w:val="Normal (Web)"/>
    <w:basedOn w:val="a"/>
    <w:rsid w:val="00C71561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7156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C2F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2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24</cp:revision>
  <cp:lastPrinted>2022-05-19T07:41:00Z</cp:lastPrinted>
  <dcterms:created xsi:type="dcterms:W3CDTF">2020-10-15T02:48:00Z</dcterms:created>
  <dcterms:modified xsi:type="dcterms:W3CDTF">2024-07-01T08:16:00Z</dcterms:modified>
</cp:coreProperties>
</file>