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33D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共青城市金融国资局2023年度日常运行经费绩效</w:t>
      </w:r>
      <w:bookmarkStart w:id="0" w:name="_GoBack"/>
      <w:bookmarkEnd w:id="0"/>
      <w:r>
        <w:rPr>
          <w:rFonts w:hint="eastAsia" w:ascii="方正小标宋简体" w:hAnsi="方正小标宋简体" w:eastAsia="方正小标宋简体" w:cs="方正小标宋简体"/>
          <w:b w:val="0"/>
          <w:bCs w:val="0"/>
          <w:sz w:val="44"/>
          <w:szCs w:val="44"/>
          <w:lang w:val="en-US" w:eastAsia="zh-CN"/>
        </w:rPr>
        <w:t>评价报告</w:t>
      </w:r>
    </w:p>
    <w:p w14:paraId="436901EC">
      <w:pPr>
        <w:jc w:val="center"/>
        <w:rPr>
          <w:rFonts w:hint="default" w:ascii="仿宋" w:hAnsi="仿宋" w:eastAsia="仿宋"/>
          <w:b/>
          <w:bCs/>
          <w:sz w:val="32"/>
          <w:szCs w:val="22"/>
          <w:lang w:val="en-US" w:eastAsia="zh-CN"/>
        </w:rPr>
      </w:pPr>
    </w:p>
    <w:p w14:paraId="72A007E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基本情况</w:t>
      </w:r>
    </w:p>
    <w:p w14:paraId="51FCE0AC">
      <w:pPr>
        <w:numPr>
          <w:ilvl w:val="0"/>
          <w:numId w:val="2"/>
        </w:numPr>
        <w:ind w:left="0" w:leftChars="0" w:firstLine="420" w:firstLineChars="0"/>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项目概况。</w:t>
      </w:r>
    </w:p>
    <w:p w14:paraId="1DD6C0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1.立项背景</w:t>
      </w:r>
    </w:p>
    <w:p w14:paraId="220845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根据我局工作职能，为做好我市金融和国有资产管理工作，保证单位正常运转，特设立此项目。</w:t>
      </w:r>
    </w:p>
    <w:p w14:paraId="2D495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2.项目主要内容</w:t>
      </w:r>
    </w:p>
    <w:p w14:paraId="31CEA2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_GB2312" w:cs="仿宋_GB2312"/>
          <w:sz w:val="32"/>
          <w:szCs w:val="40"/>
          <w:lang w:val="en-US" w:eastAsia="zh-CN"/>
        </w:rPr>
      </w:pPr>
      <w:r>
        <w:rPr>
          <w:rFonts w:hint="default" w:ascii="仿宋" w:hAnsi="仿宋" w:eastAsia="仿宋" w:cs="仿宋_GB2312"/>
          <w:sz w:val="32"/>
          <w:szCs w:val="40"/>
          <w:lang w:val="en-US" w:eastAsia="zh-CN"/>
        </w:rPr>
        <w:t>防范地方重大金融风险发生，推动我市经济金融平稳运行</w:t>
      </w:r>
      <w:r>
        <w:rPr>
          <w:rFonts w:hint="eastAsia" w:ascii="仿宋" w:hAnsi="仿宋" w:eastAsia="仿宋" w:cs="仿宋_GB2312"/>
          <w:sz w:val="32"/>
          <w:szCs w:val="40"/>
          <w:lang w:val="en-US" w:eastAsia="zh-CN"/>
        </w:rPr>
        <w:t>；</w:t>
      </w:r>
      <w:r>
        <w:rPr>
          <w:rFonts w:hint="eastAsia" w:ascii="仿宋_GB2312" w:hAnsi="仿宋_GB2312" w:eastAsia="仿宋_GB2312" w:cs="仿宋_GB2312"/>
          <w:i w:val="0"/>
          <w:iCs w:val="0"/>
          <w:caps w:val="0"/>
          <w:color w:val="auto"/>
          <w:spacing w:val="0"/>
          <w:sz w:val="32"/>
          <w:szCs w:val="32"/>
          <w:shd w:val="clear" w:fill="FFFFFF"/>
        </w:rPr>
        <w:t>对国有企业国有资产监督管理，确保国有资产保值增值</w:t>
      </w:r>
      <w:r>
        <w:rPr>
          <w:rFonts w:hint="eastAsia" w:ascii="仿宋_GB2312" w:hAnsi="仿宋_GB2312" w:eastAsia="仿宋_GB2312" w:cs="仿宋_GB2312"/>
          <w:i w:val="0"/>
          <w:iCs w:val="0"/>
          <w:caps w:val="0"/>
          <w:color w:val="auto"/>
          <w:spacing w:val="0"/>
          <w:sz w:val="32"/>
          <w:szCs w:val="32"/>
          <w:shd w:val="clear" w:fill="FFFFFF"/>
          <w:lang w:eastAsia="zh-CN"/>
        </w:rPr>
        <w:t>。</w:t>
      </w:r>
    </w:p>
    <w:p w14:paraId="1F379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3.资金投入和使用情况</w:t>
      </w:r>
    </w:p>
    <w:p w14:paraId="65A13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2023年度日常运行经费项目全年预算数为117.9万元，截至2023年12月31日，项目执行数为77.15万元。</w:t>
      </w:r>
    </w:p>
    <w:p w14:paraId="13465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b/>
          <w:bCs/>
          <w:sz w:val="32"/>
          <w:szCs w:val="40"/>
          <w:lang w:val="en-US" w:eastAsia="zh-CN"/>
        </w:rPr>
        <w:t>（二）项目绩效目标。</w:t>
      </w:r>
      <w:r>
        <w:rPr>
          <w:rFonts w:hint="default" w:ascii="仿宋" w:hAnsi="仿宋" w:eastAsia="仿宋" w:cs="仿宋_GB2312"/>
          <w:sz w:val="32"/>
          <w:szCs w:val="40"/>
          <w:lang w:val="en-US" w:eastAsia="zh-CN"/>
        </w:rPr>
        <w:t>推动我市经济金融平稳运行，力争我市企业主板上市，同时落实信贷相关政策，保证单位正常运转。监督所出资企业国有资产保值增值，加快国有资产监督管理体系建设。</w:t>
      </w:r>
    </w:p>
    <w:p w14:paraId="7F15CF2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绩效评价工作开展情况</w:t>
      </w:r>
    </w:p>
    <w:p w14:paraId="6ED045BB">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绩效评价目的、对象和范围</w:t>
      </w:r>
    </w:p>
    <w:p w14:paraId="70AED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财政支出绩效评价是从深化部门预算改革和加强预算绩效管理的实际需要出发，通过科学合理的方法，客观公正地评价财政资金使用的规范性、经济性、效率性和效益性，是强化部门预算支出责任、改善财政支出管理、优化资源配 置以及提高公共服务水平的重要手段。开展 2023年度日常运转经费项目评价工作的目的，是要通过对项目本年度各项绩效目标完成情况的综合评分，客观公正地评价 项目的实施绩效，同时积极推动我局财政预算绩效管理工作的全面深入开展。 本次绩效评价的对象为我局 2023年度日常运转经费项目，涉及市级财政资金117.29万元。</w:t>
      </w:r>
    </w:p>
    <w:p w14:paraId="7D7D4091">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绩效评价原则、评价指标体系（附表说明）、评价方法、评价标准等</w:t>
      </w:r>
    </w:p>
    <w:p w14:paraId="32F1E3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1.绩效评价原则</w:t>
      </w:r>
    </w:p>
    <w:p w14:paraId="77427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val="en-US" w:eastAsia="zh-CN"/>
        </w:rPr>
        <w:t>日常运转经费项目</w:t>
      </w:r>
      <w:r>
        <w:rPr>
          <w:rFonts w:hint="eastAsia" w:ascii="仿宋_GB2312" w:hAnsi="仿宋_GB2312" w:eastAsia="仿宋_GB2312" w:cs="仿宋_GB2312"/>
          <w:sz w:val="32"/>
          <w:szCs w:val="32"/>
        </w:rPr>
        <w:t xml:space="preserve">绩效评价遵循以下基本原则： </w:t>
      </w:r>
    </w:p>
    <w:p w14:paraId="5AD1901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科学规范原则。严格执行规定的程序，按照科学可行的要求，采用定量与定性分析相结合的方法进行评价。 </w:t>
      </w:r>
    </w:p>
    <w:p w14:paraId="0542389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公正公开原则。绩效评价符合真实、客观、公正的要求，依法公开并接受监督。</w:t>
      </w:r>
    </w:p>
    <w:p w14:paraId="287A18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绩效相关原则。针对具体支出及其产出绩效进行评价，评价结果应当清晰反映支出和产出绩效之间的紧密对应关系。 </w:t>
      </w:r>
    </w:p>
    <w:p w14:paraId="7FB1EA4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评价指标体系 </w:t>
      </w:r>
    </w:p>
    <w:p w14:paraId="561C2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40"/>
          <w:lang w:val="en-US" w:eastAsia="zh-CN"/>
        </w:rPr>
        <w:t>日常运转经费</w:t>
      </w:r>
      <w:r>
        <w:rPr>
          <w:rFonts w:hint="eastAsia" w:ascii="仿宋_GB2312" w:hAnsi="仿宋_GB2312" w:eastAsia="仿宋_GB2312" w:cs="仿宋_GB2312"/>
          <w:sz w:val="32"/>
          <w:szCs w:val="32"/>
        </w:rPr>
        <w:t>绩效评价指标体系根据绩效评价的基本原理、原则和项目特点，结合《</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》有关要求设置，指标体系包括决策、过程、产出及效益4项一级指标，13项二级指标和38项三级指标，满分值为100 分，其中：</w:t>
      </w:r>
    </w:p>
    <w:p w14:paraId="3857BA0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决策：分值15分，从项目立项、绩效目标和资金投入三方面评价项目立项规范性、绩效目标合理性、绩效指标明确性以及资金分配合理性等内容。 </w:t>
      </w:r>
    </w:p>
    <w:p w14:paraId="7D6A16C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过程：分值 25 分，从资金管理和组织实施两方面评价业务制度健全性、制度执行有效性、预算执行率、财务制度健全性以及资金使用合规性等内容。</w:t>
      </w:r>
    </w:p>
    <w:p w14:paraId="2E3931A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产出：分值 30 分，用于考核评价项目资金投入产出数量、产出质量、产出时效、产出成本等内容。</w:t>
      </w:r>
    </w:p>
    <w:p w14:paraId="0635B7E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效益：分值 30 分，用于综合评价项目资金投入使用后产生的经济效益、社会效益、可持续影响及服务对象满意度等内容。 </w:t>
      </w:r>
    </w:p>
    <w:p w14:paraId="45D7C61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绩效评价工作过程</w:t>
      </w:r>
    </w:p>
    <w:p w14:paraId="6197D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rPr>
        <w:t>我局成立了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年度项目支出部门绩效评价工作小组。围绕</w:t>
      </w:r>
      <w:r>
        <w:rPr>
          <w:rFonts w:hint="eastAsia" w:ascii="仿宋_GB2312" w:hAnsi="仿宋_GB2312" w:eastAsia="仿宋_GB2312" w:cs="仿宋_GB2312"/>
          <w:sz w:val="32"/>
          <w:szCs w:val="32"/>
          <w:lang w:val="en-US" w:eastAsia="zh-CN"/>
        </w:rPr>
        <w:t>日常运转经费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年度绩效目标，工作小组认真核查相关资料，逐项严格评分并完成绩效评价报告，评价结果力求客观、 公正、全面地反映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日常运转经费</w:t>
      </w:r>
      <w:r>
        <w:rPr>
          <w:rFonts w:hint="eastAsia" w:ascii="仿宋_GB2312" w:hAnsi="仿宋_GB2312" w:eastAsia="仿宋_GB2312" w:cs="仿宋_GB2312"/>
          <w:sz w:val="32"/>
          <w:szCs w:val="32"/>
        </w:rPr>
        <w:t>实施的实际绩效。</w:t>
      </w:r>
    </w:p>
    <w:p w14:paraId="52D669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综合评价情况及评价结论</w:t>
      </w:r>
    </w:p>
    <w:p w14:paraId="4794D4A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评分情况</w:t>
      </w:r>
    </w:p>
    <w:p w14:paraId="6A43651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z w:val="13"/>
          <w:szCs w:val="13"/>
          <w:lang w:val="en-US" w:eastAsia="zh-CN"/>
        </w:rPr>
      </w:pPr>
    </w:p>
    <w:tbl>
      <w:tblPr>
        <w:tblStyle w:val="4"/>
        <w:tblW w:w="9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7"/>
        <w:gridCol w:w="990"/>
        <w:gridCol w:w="1485"/>
        <w:gridCol w:w="716"/>
        <w:gridCol w:w="3124"/>
        <w:gridCol w:w="806"/>
        <w:gridCol w:w="945"/>
      </w:tblGrid>
      <w:tr w14:paraId="040B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625A0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627B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8659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BF6D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75A3C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98F8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0BED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74E7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1F29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1523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6D34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3444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AA8A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1F6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B58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F81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554FF29">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E9C0663">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05FF453">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21BC05D1">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78DF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0100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C7EA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C5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6BBC63F">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F4AAB8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11E09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63C5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0BE8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30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4B60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12C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B74A953">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70317ED7">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255CDF7">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5DFA10DA">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AF0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18B8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8BDF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3D8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5B1A07D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E54565D">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98A3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73AFA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1F53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3EDA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62E4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0C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EEAFD5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5739ABFD">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0B56857">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55F8E6B9">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27CB7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A4B9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DFA9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791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476E7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1D330CAC">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B39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7B011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1D0CD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6FD9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A2F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795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E22DDA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7D1DD92">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534A6FF">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4C5F8624">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4A28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B45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200B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4F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2204A74">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1556297">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73C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DB84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5254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6901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987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244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390DD37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829892C">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4B5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47311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2776E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ED0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5CF70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r>
      <w:tr w14:paraId="5E8E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0671D24">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9A4397F">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C2EF8A8">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49A41A30">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6ADF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管理执行有效性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1AA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333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1E7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5E027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0CE1A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4086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631B1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EF9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对全市经营性国有资产履行出资职责</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3A93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B58F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r>
      <w:tr w14:paraId="7C37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93EE6C9">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63DF33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776FFB4">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4935501D">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25358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企业上市、绿色金融宣传及防范非法集资大型宣传、调研、推进工作会</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CCF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522CC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r>
      <w:tr w14:paraId="22B7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371CAF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E5570E5">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A15AF87">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464EBE25">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3CF2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召开政银企对接会场次</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4CEF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62CB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r>
      <w:tr w14:paraId="7BD1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C38459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89265DE">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23B8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产出质量</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1805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24CED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政银企对接会议银行和企业参会率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10A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99091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r>
      <w:tr w14:paraId="3ACB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776B5E7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D3BEED8">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E6ECE28">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3D43FB30">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4FEF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企业上市、绿色金融、防范非法集资培训人员参训率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BA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FD7F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9A0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547465F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26BA513">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A4FA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584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55F1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按照上级要求时间节点前完成</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1E58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88B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C68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E906E0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E74ADA5">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B3B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716" w:type="dxa"/>
            <w:tcBorders>
              <w:top w:val="nil"/>
              <w:left w:val="single" w:color="000000" w:sz="4" w:space="0"/>
              <w:bottom w:val="single" w:color="000000" w:sz="4" w:space="0"/>
              <w:right w:val="single" w:color="000000" w:sz="4" w:space="0"/>
            </w:tcBorders>
            <w:noWrap/>
            <w:vAlign w:val="center"/>
          </w:tcPr>
          <w:p w14:paraId="002D4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0FF9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企业上市、绿色金融宣传及防范非法集资大型宣传及培训、企业走访调研、企业奖补等费用</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2576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004F6D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14:paraId="4F3D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27547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3FE77EB">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2D0A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DC00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157BC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信贷余额同比有增长</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8A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313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r>
      <w:tr w14:paraId="259E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F3C845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5F9AD89">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E307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83B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26C97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提升地方金融监管能力</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6AF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75F9D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w:t>
            </w:r>
          </w:p>
        </w:tc>
      </w:tr>
      <w:tr w14:paraId="3C56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663761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17B8CDA3">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05FF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D93B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2F6E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宣传、检查、监测、打击，加强非法集资的防范和打击力度，优化我市金融生态环境。</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3D9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132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2CD9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21C7ED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5DDF54A">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0AB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CA79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2728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BCA7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0912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r>
      <w:tr w14:paraId="6B3C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6528E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A8D9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EFD9D59">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FA6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62CE22F5">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11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9204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5</w:t>
            </w:r>
          </w:p>
        </w:tc>
      </w:tr>
      <w:tr w14:paraId="07A8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244F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评价等次</w:t>
            </w:r>
          </w:p>
        </w:tc>
        <w:tc>
          <w:tcPr>
            <w:tcW w:w="8066" w:type="dxa"/>
            <w:gridSpan w:val="6"/>
            <w:tcBorders>
              <w:top w:val="single" w:color="000000" w:sz="4" w:space="0"/>
              <w:left w:val="single" w:color="000000" w:sz="4" w:space="0"/>
              <w:bottom w:val="single" w:color="000000" w:sz="4" w:space="0"/>
              <w:right w:val="single" w:color="000000" w:sz="4" w:space="0"/>
            </w:tcBorders>
            <w:noWrap/>
            <w:vAlign w:val="center"/>
          </w:tcPr>
          <w:p w14:paraId="3EBD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r>
              <w:rPr>
                <w:rStyle w:val="6"/>
                <w:rFonts w:eastAsia="宋体"/>
                <w:lang w:val="en-US" w:eastAsia="zh-CN" w:bidi="ar"/>
              </w:rPr>
              <w:t>√</w:t>
            </w:r>
            <w:r>
              <w:rPr>
                <w:rStyle w:val="7"/>
                <w:lang w:val="en-US" w:eastAsia="zh-CN" w:bidi="ar"/>
              </w:rPr>
              <w:t xml:space="preserve"> 良</w:t>
            </w:r>
            <w:r>
              <w:rPr>
                <w:rStyle w:val="8"/>
                <w:rFonts w:eastAsia="宋体"/>
                <w:lang w:val="en-US" w:eastAsia="zh-CN" w:bidi="ar"/>
              </w:rPr>
              <w:t>¨</w:t>
            </w:r>
            <w:r>
              <w:rPr>
                <w:rStyle w:val="7"/>
                <w:lang w:val="en-US" w:eastAsia="zh-CN" w:bidi="ar"/>
              </w:rPr>
              <w:t xml:space="preserve"> 中</w:t>
            </w:r>
            <w:r>
              <w:rPr>
                <w:rStyle w:val="8"/>
                <w:rFonts w:eastAsia="宋体"/>
                <w:lang w:val="en-US" w:eastAsia="zh-CN" w:bidi="ar"/>
              </w:rPr>
              <w:t>¨</w:t>
            </w:r>
            <w:r>
              <w:rPr>
                <w:rStyle w:val="7"/>
                <w:lang w:val="en-US" w:eastAsia="zh-CN" w:bidi="ar"/>
              </w:rPr>
              <w:t xml:space="preserve"> 差</w:t>
            </w:r>
            <w:r>
              <w:rPr>
                <w:rStyle w:val="8"/>
                <w:rFonts w:eastAsia="宋体"/>
                <w:lang w:val="en-US" w:eastAsia="zh-CN" w:bidi="ar"/>
              </w:rPr>
              <w:t>¨</w:t>
            </w:r>
          </w:p>
        </w:tc>
      </w:tr>
    </w:tbl>
    <w:p w14:paraId="5E2A9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（二）评价结论</w:t>
      </w:r>
    </w:p>
    <w:p w14:paraId="662DCF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经评价，2023年度</w:t>
      </w:r>
      <w:r>
        <w:rPr>
          <w:rFonts w:hint="eastAsia" w:ascii="仿宋_GB2312" w:hAnsi="仿宋_GB2312" w:eastAsia="仿宋_GB2312" w:cs="仿宋_GB2312"/>
          <w:sz w:val="32"/>
          <w:szCs w:val="40"/>
          <w:lang w:val="en-US" w:eastAsia="zh-CN"/>
        </w:rPr>
        <w:t>日常运转经费绩效评价得分95分，评价等级为“优秀”。</w:t>
      </w:r>
    </w:p>
    <w:p w14:paraId="130C5CFA">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主要经验及做法、存在的问题及原因分析</w:t>
      </w:r>
    </w:p>
    <w:p w14:paraId="1E2480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主要经验及做法</w:t>
      </w:r>
    </w:p>
    <w:p w14:paraId="6759D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年，我市主要金融指标稳中有进，金融风险防控扎实有效，守住了不发生区域性金融风险底线，金融运行总体平稳有序，为全市绿色振兴和高质量发展贡献了金融力量。</w:t>
      </w:r>
      <w:r>
        <w:rPr>
          <w:rFonts w:hint="eastAsia" w:ascii="仿宋_GB2312" w:hAnsi="仿宋_GB2312" w:eastAsia="仿宋_GB2312" w:cs="仿宋_GB2312"/>
          <w:sz w:val="32"/>
          <w:szCs w:val="32"/>
          <w:lang w:val="en-US" w:eastAsia="zh-CN"/>
        </w:rPr>
        <w:t>主要做法：</w:t>
      </w:r>
      <w:r>
        <w:rPr>
          <w:rFonts w:hint="eastAsia" w:ascii="仿宋_GB2312" w:hAnsi="仿宋_GB2312" w:eastAsia="仿宋_GB2312" w:cs="仿宋_GB2312"/>
          <w:b/>
          <w:bCs/>
          <w:color w:val="auto"/>
          <w:kern w:val="0"/>
          <w:sz w:val="32"/>
          <w:szCs w:val="32"/>
          <w:highlight w:val="none"/>
          <w:lang w:val="en-US" w:eastAsia="zh-CN"/>
        </w:rPr>
        <w:t>一是</w:t>
      </w:r>
      <w:r>
        <w:rPr>
          <w:rFonts w:hint="eastAsia" w:ascii="仿宋_GB2312" w:hAnsi="仿宋_GB2312" w:eastAsia="仿宋_GB2312" w:cs="仿宋_GB2312"/>
          <w:color w:val="auto"/>
          <w:kern w:val="0"/>
          <w:sz w:val="32"/>
          <w:szCs w:val="32"/>
          <w:highlight w:val="none"/>
          <w:lang w:val="en-US" w:eastAsia="zh-CN"/>
        </w:rPr>
        <w:t>加强风险排查。组织开展7+4类金融机构风险排查10余次，</w:t>
      </w:r>
      <w:r>
        <w:rPr>
          <w:rFonts w:hint="eastAsia" w:ascii="仿宋_GB2312" w:hAnsi="仿宋_GB2312" w:eastAsia="仿宋_GB2312" w:cs="仿宋_GB2312"/>
          <w:sz w:val="32"/>
          <w:szCs w:val="32"/>
          <w:highlight w:val="none"/>
          <w:lang w:val="en-US" w:eastAsia="zh-CN"/>
        </w:rPr>
        <w:t>对私募基金风险机构进行了分类整治，</w:t>
      </w:r>
      <w:r>
        <w:rPr>
          <w:rFonts w:hint="eastAsia" w:ascii="仿宋_GB2312" w:hAnsi="仿宋_GB2312" w:eastAsia="仿宋_GB2312" w:cs="仿宋_GB2312"/>
          <w:color w:val="auto"/>
          <w:kern w:val="0"/>
          <w:sz w:val="32"/>
          <w:szCs w:val="32"/>
          <w:highlight w:val="none"/>
          <w:lang w:val="en-US" w:eastAsia="zh-CN"/>
        </w:rPr>
        <w:t>累计排查风险隐患61条</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bCs/>
          <w:color w:val="auto"/>
          <w:kern w:val="0"/>
          <w:sz w:val="32"/>
          <w:szCs w:val="32"/>
          <w:highlight w:val="none"/>
          <w:lang w:val="en-US" w:eastAsia="zh-CN"/>
        </w:rPr>
        <w:t>二是</w:t>
      </w:r>
      <w:r>
        <w:rPr>
          <w:rFonts w:hint="eastAsia" w:ascii="仿宋_GB2312" w:hAnsi="仿宋_GB2312" w:eastAsia="仿宋_GB2312" w:cs="仿宋_GB2312"/>
          <w:color w:val="auto"/>
          <w:kern w:val="0"/>
          <w:sz w:val="32"/>
          <w:szCs w:val="32"/>
          <w:lang w:val="en-US" w:eastAsia="zh-CN"/>
        </w:rPr>
        <w:t>深化专题宣传。</w:t>
      </w:r>
      <w:r>
        <w:rPr>
          <w:rFonts w:hint="eastAsia" w:ascii="仿宋_GB2312" w:hAnsi="仿宋_GB2312" w:eastAsia="仿宋_GB2312" w:cs="仿宋_GB2312"/>
          <w:sz w:val="32"/>
          <w:szCs w:val="32"/>
          <w:highlight w:val="none"/>
        </w:rPr>
        <w:t>举办</w:t>
      </w:r>
      <w:r>
        <w:rPr>
          <w:rFonts w:hint="eastAsia" w:ascii="仿宋_GB2312" w:hAnsi="仿宋_GB2312" w:eastAsia="仿宋_GB2312" w:cs="仿宋_GB2312"/>
          <w:sz w:val="32"/>
          <w:szCs w:val="32"/>
          <w:highlight w:val="none"/>
          <w:lang w:eastAsia="zh-CN"/>
        </w:rPr>
        <w:t>专题</w:t>
      </w:r>
      <w:r>
        <w:rPr>
          <w:rFonts w:hint="eastAsia" w:ascii="仿宋_GB2312" w:hAnsi="仿宋_GB2312" w:eastAsia="仿宋_GB2312" w:cs="仿宋_GB2312"/>
          <w:sz w:val="32"/>
          <w:szCs w:val="32"/>
          <w:highlight w:val="none"/>
        </w:rPr>
        <w:t>培训</w:t>
      </w:r>
      <w:r>
        <w:rPr>
          <w:rFonts w:hint="eastAsia" w:ascii="仿宋_GB2312" w:hAnsi="仿宋_GB2312" w:eastAsia="仿宋_GB2312" w:cs="仿宋_GB2312"/>
          <w:sz w:val="32"/>
          <w:szCs w:val="32"/>
          <w:highlight w:val="none"/>
          <w:lang w:eastAsia="zh-CN"/>
        </w:rPr>
        <w:t>会，深入解读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防范和处置非法集资</w:t>
      </w:r>
      <w:r>
        <w:rPr>
          <w:rFonts w:hint="eastAsia" w:ascii="仿宋_GB2312" w:hAnsi="仿宋_GB2312" w:eastAsia="仿宋_GB2312" w:cs="仿宋_GB2312"/>
          <w:sz w:val="32"/>
          <w:szCs w:val="32"/>
          <w:highlight w:val="none"/>
        </w:rPr>
        <w:t>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联合“蚂蚁公益基金会”开展</w:t>
      </w:r>
      <w:r>
        <w:rPr>
          <w:rFonts w:hint="eastAsia" w:ascii="仿宋_GB2312" w:hAnsi="仿宋_GB2312" w:eastAsia="仿宋_GB2312" w:cs="仿宋_GB2312"/>
          <w:sz w:val="32"/>
          <w:szCs w:val="32"/>
          <w:lang w:eastAsia="zh-CN"/>
        </w:rPr>
        <w:t>助老防骗宣传</w:t>
      </w:r>
      <w:r>
        <w:rPr>
          <w:rFonts w:hint="eastAsia" w:ascii="仿宋_GB2312" w:hAnsi="仿宋_GB2312" w:eastAsia="仿宋_GB2312" w:cs="仿宋_GB2312"/>
          <w:sz w:val="32"/>
          <w:szCs w:val="32"/>
          <w:lang w:val="en-US" w:eastAsia="zh-CN"/>
        </w:rPr>
        <w:t>11次，获得省金融监管局“防范非法集资 远离不良校园贷”抖音话题挑战赛优秀奖。</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highlight w:val="none"/>
          <w:lang w:val="en-US" w:eastAsia="zh-CN"/>
        </w:rPr>
        <w:t>是</w:t>
      </w:r>
      <w:r>
        <w:rPr>
          <w:rFonts w:hint="eastAsia" w:ascii="仿宋_GB2312" w:hAnsi="仿宋_GB2312" w:eastAsia="仿宋_GB2312" w:cs="仿宋_GB2312"/>
          <w:sz w:val="32"/>
          <w:szCs w:val="32"/>
          <w:highlight w:val="none"/>
          <w:lang w:val="en-US" w:eastAsia="zh-CN"/>
        </w:rPr>
        <w:t>加快陈案化解。目前，</w:t>
      </w:r>
      <w:r>
        <w:rPr>
          <w:rFonts w:hint="eastAsia" w:ascii="仿宋_GB2312" w:hAnsi="仿宋_GB2312" w:eastAsia="仿宋_GB2312" w:cs="仿宋_GB2312"/>
          <w:b w:val="0"/>
          <w:bCs w:val="0"/>
          <w:sz w:val="32"/>
          <w:szCs w:val="32"/>
          <w:lang w:val="en-US" w:eastAsia="zh-CN"/>
        </w:rPr>
        <w:t>我市陈案处置完结率为50%，高于全省陈案处置完结率。</w:t>
      </w:r>
    </w:p>
    <w:p w14:paraId="506BA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（二）存在的问题及建议</w:t>
      </w:r>
    </w:p>
    <w:p w14:paraId="403B4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1.预算执行率需再提高。2023年度</w:t>
      </w:r>
      <w:r>
        <w:rPr>
          <w:rFonts w:hint="eastAsia" w:ascii="仿宋_GB2312" w:hAnsi="仿宋_GB2312" w:eastAsia="仿宋_GB2312" w:cs="仿宋_GB2312"/>
          <w:sz w:val="32"/>
          <w:szCs w:val="40"/>
          <w:lang w:val="en-US" w:eastAsia="zh-CN"/>
        </w:rPr>
        <w:t>日常运转经费全年预算为117.9万元，当年实际使用77.15万元，预算执行率为65.44%。预算执行率未达到90%以上。</w:t>
      </w:r>
    </w:p>
    <w:p w14:paraId="418302C2">
      <w:pPr>
        <w:numPr>
          <w:ilvl w:val="0"/>
          <w:numId w:val="0"/>
        </w:numPr>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2.建议财务与办公室和业务人员加强日常费用支出对接，避免年底扎堆报账。</w:t>
      </w:r>
    </w:p>
    <w:p w14:paraId="6D7CA924"/>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9020"/>
    <w:multiLevelType w:val="singleLevel"/>
    <w:tmpl w:val="81739020"/>
    <w:lvl w:ilvl="0" w:tentative="0">
      <w:start w:val="1"/>
      <w:numFmt w:val="chineseCounting"/>
      <w:suff w:val="nothing"/>
      <w:lvlText w:val="（%1）"/>
      <w:lvlJc w:val="left"/>
      <w:rPr>
        <w:rFonts w:hint="eastAsia"/>
      </w:rPr>
    </w:lvl>
  </w:abstractNum>
  <w:abstractNum w:abstractNumId="1">
    <w:nsid w:val="8C034A4E"/>
    <w:multiLevelType w:val="singleLevel"/>
    <w:tmpl w:val="8C034A4E"/>
    <w:lvl w:ilvl="0" w:tentative="0">
      <w:start w:val="1"/>
      <w:numFmt w:val="decimal"/>
      <w:suff w:val="nothing"/>
      <w:lvlText w:val="（%1）"/>
      <w:lvlJc w:val="left"/>
    </w:lvl>
  </w:abstractNum>
  <w:abstractNum w:abstractNumId="2">
    <w:nsid w:val="8DAA1CBD"/>
    <w:multiLevelType w:val="singleLevel"/>
    <w:tmpl w:val="8DAA1CBD"/>
    <w:lvl w:ilvl="0" w:tentative="0">
      <w:start w:val="2"/>
      <w:numFmt w:val="decimal"/>
      <w:lvlText w:val="%1."/>
      <w:lvlJc w:val="left"/>
      <w:pPr>
        <w:tabs>
          <w:tab w:val="left" w:pos="312"/>
        </w:tabs>
      </w:pPr>
    </w:lvl>
  </w:abstractNum>
  <w:abstractNum w:abstractNumId="3">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4">
    <w:nsid w:val="AA52C4AD"/>
    <w:multiLevelType w:val="singleLevel"/>
    <w:tmpl w:val="AA52C4AD"/>
    <w:lvl w:ilvl="0" w:tentative="0">
      <w:start w:val="1"/>
      <w:numFmt w:val="chineseCounting"/>
      <w:suff w:val="nothing"/>
      <w:lvlText w:val="%1、"/>
      <w:lvlJc w:val="left"/>
      <w:rPr>
        <w:rFonts w:hint="eastAsia"/>
      </w:rPr>
    </w:lvl>
  </w:abstractNum>
  <w:abstractNum w:abstractNumId="5">
    <w:nsid w:val="6D041C08"/>
    <w:multiLevelType w:val="singleLevel"/>
    <w:tmpl w:val="6D041C08"/>
    <w:lvl w:ilvl="0" w:tentative="0">
      <w:start w:val="1"/>
      <w:numFmt w:val="chineseCounting"/>
      <w:suff w:val="nothing"/>
      <w:lvlText w:val="（%1）"/>
      <w:lvlJc w:val="left"/>
      <w:pPr>
        <w:ind w:left="0" w:firstLine="420"/>
      </w:pPr>
      <w:rPr>
        <w:rFonts w:hint="eastAsia"/>
      </w:rPr>
    </w:lvl>
  </w:abstractNum>
  <w:abstractNum w:abstractNumId="6">
    <w:nsid w:val="7764DDFF"/>
    <w:multiLevelType w:val="singleLevel"/>
    <w:tmpl w:val="7764DDFF"/>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U5ZTRkNTJiYzFiZDAyZWNjOTRmODg0NGRlODkifQ=="/>
  </w:docVars>
  <w:rsids>
    <w:rsidRoot w:val="00000000"/>
    <w:rsid w:val="04D87301"/>
    <w:rsid w:val="277E6796"/>
    <w:rsid w:val="2C451D4A"/>
    <w:rsid w:val="371D4866"/>
    <w:rsid w:val="46E7041F"/>
    <w:rsid w:val="51397FB8"/>
    <w:rsid w:val="51F200BE"/>
    <w:rsid w:val="58706754"/>
    <w:rsid w:val="63F31D5A"/>
    <w:rsid w:val="67C373FF"/>
    <w:rsid w:val="7D9C5DDB"/>
    <w:rsid w:val="7DB46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9"/>
    <w:pPr>
      <w:keepNext/>
      <w:keepLines/>
      <w:spacing w:before="60" w:beforeLines="0" w:after="60" w:afterLines="0" w:line="312" w:lineRule="auto"/>
      <w:ind w:left="0" w:leftChars="0" w:firstLine="880" w:firstLineChars="200"/>
      <w:outlineLvl w:val="3"/>
    </w:pPr>
    <w:rPr>
      <w:rFonts w:ascii="Cambria" w:hAnsi="Cambria" w:eastAsia="宋体" w:cs="Times New Roman"/>
      <w:b/>
      <w:bCs/>
      <w:sz w:val="24"/>
      <w:szCs w:val="28"/>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font21"/>
    <w:basedOn w:val="5"/>
    <w:qFormat/>
    <w:uiPriority w:val="0"/>
    <w:rPr>
      <w:rFonts w:ascii="Arial" w:hAnsi="Arial" w:cs="Arial"/>
      <w:b/>
      <w:bCs/>
      <w:color w:val="000000"/>
      <w:sz w:val="22"/>
      <w:szCs w:val="22"/>
      <w:u w:val="none"/>
    </w:rPr>
  </w:style>
  <w:style w:type="character" w:customStyle="1" w:styleId="7">
    <w:name w:val="font11"/>
    <w:basedOn w:val="5"/>
    <w:uiPriority w:val="0"/>
    <w:rPr>
      <w:rFonts w:hint="eastAsia" w:ascii="宋体" w:hAnsi="宋体" w:eastAsia="宋体" w:cs="宋体"/>
      <w:color w:val="000000"/>
      <w:sz w:val="22"/>
      <w:szCs w:val="22"/>
      <w:u w:val="none"/>
    </w:rPr>
  </w:style>
  <w:style w:type="character" w:customStyle="1" w:styleId="8">
    <w:name w:val="font31"/>
    <w:basedOn w:val="5"/>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2118</Words>
  <Characters>2218</Characters>
  <Lines>0</Lines>
  <Paragraphs>0</Paragraphs>
  <TotalTime>35</TotalTime>
  <ScaleCrop>false</ScaleCrop>
  <LinksUpToDate>false</LinksUpToDate>
  <CharactersWithSpaces>2246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2022-05-30T09:38:00Z</dcterms:created>
  <dc:creator>wzsof</dc:creator>
  <cp:lastModifiedBy>HYL</cp:lastModifiedBy>
  <dcterms:modified xsi:type="dcterms:W3CDTF">2024-10-09T09:01:34Z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13EBE61DE7A349D3B9ABD1A467F112CE_13</vt:lpwstr>
  </property>
</Properties>
</file>