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042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共青城市金融国资局二类-地方金融风险监管和防范专项经费评价报告</w:t>
      </w:r>
    </w:p>
    <w:p w14:paraId="5A4D57FA">
      <w:pPr>
        <w:jc w:val="center"/>
        <w:rPr>
          <w:rFonts w:hint="default" w:ascii="仿宋" w:hAnsi="仿宋" w:eastAsia="仿宋"/>
          <w:b/>
          <w:bCs/>
          <w:sz w:val="32"/>
          <w:szCs w:val="22"/>
          <w:lang w:val="en-US" w:eastAsia="zh-CN"/>
        </w:rPr>
      </w:pPr>
    </w:p>
    <w:p w14:paraId="74894224">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基本情况</w:t>
      </w:r>
    </w:p>
    <w:p w14:paraId="5F94B915">
      <w:pPr>
        <w:numPr>
          <w:ilvl w:val="0"/>
          <w:numId w:val="2"/>
        </w:numPr>
        <w:ind w:left="0" w:leftChars="0" w:firstLine="420" w:firstLineChars="0"/>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项目概况。</w:t>
      </w:r>
    </w:p>
    <w:p w14:paraId="5EFD41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1.立项背景</w:t>
      </w:r>
    </w:p>
    <w:p w14:paraId="5D8184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根据我局工作职能，为做好我市地方金融风险监管和防范工作，特设立此项目。</w:t>
      </w:r>
    </w:p>
    <w:p w14:paraId="11D52E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2.项目主要内容</w:t>
      </w:r>
    </w:p>
    <w:p w14:paraId="4E7527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 w:hAnsi="仿宋" w:eastAsia="仿宋_GB2312" w:cs="仿宋_GB2312"/>
          <w:sz w:val="32"/>
          <w:szCs w:val="40"/>
          <w:lang w:val="en-US" w:eastAsia="zh-CN"/>
        </w:rPr>
      </w:pPr>
      <w:r>
        <w:rPr>
          <w:rFonts w:hint="default" w:ascii="仿宋" w:hAnsi="仿宋" w:eastAsia="仿宋" w:cs="仿宋_GB2312"/>
          <w:sz w:val="32"/>
          <w:szCs w:val="40"/>
          <w:lang w:val="en-US" w:eastAsia="zh-CN"/>
        </w:rPr>
        <w:t>防范地方重大金融风险发生，推动我市经济金融平稳运行</w:t>
      </w:r>
      <w:r>
        <w:rPr>
          <w:rFonts w:hint="eastAsia" w:ascii="仿宋" w:hAnsi="仿宋" w:eastAsia="仿宋" w:cs="仿宋_GB2312"/>
          <w:sz w:val="32"/>
          <w:szCs w:val="40"/>
          <w:lang w:val="en-US" w:eastAsia="zh-CN"/>
        </w:rPr>
        <w:t>；</w:t>
      </w:r>
    </w:p>
    <w:p w14:paraId="3A1E4B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3.资金投入和使用情况</w:t>
      </w:r>
    </w:p>
    <w:p w14:paraId="6048EF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2023年度日常运行经费项目全年预算数为11.5万元，截至2023年12月31日，项目执行数为11.48万元。</w:t>
      </w:r>
    </w:p>
    <w:p w14:paraId="7CF499B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项目绩效目标。</w:t>
      </w:r>
    </w:p>
    <w:p w14:paraId="695BB533">
      <w:pPr>
        <w:keepNext w:val="0"/>
        <w:keepLines w:val="0"/>
        <w:pageBreakBefore w:val="0"/>
        <w:widowControl w:val="0"/>
        <w:numPr>
          <w:numId w:val="0"/>
        </w:numPr>
        <w:kinsoku/>
        <w:wordWrap/>
        <w:overflowPunct/>
        <w:topLinePunct w:val="0"/>
        <w:autoSpaceDE/>
        <w:autoSpaceDN/>
        <w:bidi w:val="0"/>
        <w:adjustRightInd/>
        <w:snapToGrid/>
        <w:spacing w:line="560" w:lineRule="exact"/>
        <w:ind w:left="420" w:left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做好地方金融监控和防范工作。</w:t>
      </w:r>
    </w:p>
    <w:p w14:paraId="5EAB12B0">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绩效评价工作开展情况</w:t>
      </w:r>
    </w:p>
    <w:p w14:paraId="7B6ED483">
      <w:pPr>
        <w:numPr>
          <w:ilvl w:val="0"/>
          <w:numId w:val="3"/>
        </w:numPr>
        <w:ind w:left="0" w:leftChars="0" w:firstLine="420" w:firstLineChars="0"/>
        <w:jc w:val="left"/>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绩效评价目的、对象和范围</w:t>
      </w:r>
    </w:p>
    <w:p w14:paraId="19054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财政支出绩效评价是从深化部门预算改革和加强预算绩效管理的实际需要出发，通过科学合理的方法，客观公正地评价财政资金使用的规范性、经济性、效率性和效益性，是强化部门预算支出责任、改善财政支出管理、优化资源配 置以及提高公共服务水平的重要手段。开展二类-地方金融风险监管和防范专项经费项目评价工作的目的，是要通过对项目本年度各项绩效目标完成情况的综合评分，客观公正地评价 项目的实施绩效，同时积极推动我局财政预算绩效管理工作的全面深入开展。 本次绩效评价的对象为我局二类-地方金融风险监管和防范专项经费项目，涉及市级财政资金11.5万元。</w:t>
      </w:r>
    </w:p>
    <w:p w14:paraId="6A9B972E">
      <w:pPr>
        <w:numPr>
          <w:ilvl w:val="0"/>
          <w:numId w:val="3"/>
        </w:numPr>
        <w:ind w:left="0" w:leftChars="0" w:firstLine="420" w:firstLineChars="0"/>
        <w:jc w:val="left"/>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绩效评价原则、评价指标体系（附表说明）、评价方法、评价标准等</w:t>
      </w:r>
    </w:p>
    <w:p w14:paraId="6630F9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1.绩效评价原则</w:t>
      </w:r>
    </w:p>
    <w:p w14:paraId="7ECFC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40"/>
          <w:lang w:val="en-US" w:eastAsia="zh-CN"/>
        </w:rPr>
        <w:t>日常运转经费项目</w:t>
      </w:r>
      <w:r>
        <w:rPr>
          <w:rFonts w:hint="eastAsia" w:ascii="仿宋_GB2312" w:hAnsi="仿宋_GB2312" w:eastAsia="仿宋_GB2312" w:cs="仿宋_GB2312"/>
          <w:sz w:val="32"/>
          <w:szCs w:val="32"/>
        </w:rPr>
        <w:t xml:space="preserve">绩效评价遵循以下基本原则： </w:t>
      </w:r>
    </w:p>
    <w:p w14:paraId="7063558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科学规范原则。严格执行规定的程序，按照科学可行的要求，采用定量与定性分析相结合的方法进行评价。 </w:t>
      </w:r>
    </w:p>
    <w:p w14:paraId="1C48CDD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公正公开原则。绩效评价符合真实、客观、公正的要求，依法公开并接受监督。</w:t>
      </w:r>
    </w:p>
    <w:p w14:paraId="60D8B92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绩效相关原则。针对具体支出及其产出绩效进行评价，评价结果应当清晰反映支出和产出绩效之间的紧密对应关系。 </w:t>
      </w:r>
    </w:p>
    <w:p w14:paraId="5FFF07E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评价指标体系 </w:t>
      </w:r>
    </w:p>
    <w:p w14:paraId="50EF6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40"/>
          <w:lang w:val="en-US" w:eastAsia="zh-CN"/>
        </w:rPr>
        <w:t>日常运转经费</w:t>
      </w:r>
      <w:r>
        <w:rPr>
          <w:rFonts w:hint="eastAsia" w:ascii="仿宋_GB2312" w:hAnsi="仿宋_GB2312" w:eastAsia="仿宋_GB2312" w:cs="仿宋_GB2312"/>
          <w:sz w:val="32"/>
          <w:szCs w:val="32"/>
        </w:rPr>
        <w:t>绩效评价指标体系根据绩效评价的基本原理、原则和项目特点，结合《</w:t>
      </w:r>
      <w:r>
        <w:rPr>
          <w:rFonts w:hint="eastAsia" w:ascii="仿宋_GB2312" w:hAnsi="仿宋_GB2312" w:eastAsia="仿宋_GB2312" w:cs="仿宋_GB2312"/>
          <w:sz w:val="32"/>
          <w:szCs w:val="32"/>
          <w:lang w:val="en-US" w:eastAsia="zh-CN"/>
        </w:rPr>
        <w:t>江西省级项目支出和部门整体绩效评价管理暂行办法</w:t>
      </w:r>
      <w:r>
        <w:rPr>
          <w:rFonts w:hint="eastAsia" w:ascii="仿宋_GB2312" w:hAnsi="仿宋_GB2312" w:eastAsia="仿宋_GB2312" w:cs="仿宋_GB2312"/>
          <w:sz w:val="32"/>
          <w:szCs w:val="32"/>
        </w:rPr>
        <w:t>》有关要求设置，指标体系包括决策、过程、产出及效益4项一级指标，13项二级指标和38项三级指标，满分值为100 分，其中：</w:t>
      </w:r>
    </w:p>
    <w:p w14:paraId="08F2D9B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决策：分值15分，从项目立项、绩效目标和资金投入三方面评价项目立项规范性、绩效目标合理性、绩效指标明确性以及资金分配合理性等内容。 </w:t>
      </w:r>
    </w:p>
    <w:p w14:paraId="7398465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过程：分值 25 分，从资金管理和组织实施两方面评价业务制度健全性、制度执行有效性、预算执行率、财务制度健全性以及资金使用合规性等内容。</w:t>
      </w:r>
    </w:p>
    <w:p w14:paraId="25F6508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产出：分值 30 分，用于考核评价项目资金投入产出数量、产出质量、产出时效、产出成本等内容。</w:t>
      </w:r>
    </w:p>
    <w:p w14:paraId="65C9375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效益：分值 30 分，用于综合评价项目资金投入使用后产生的经济效益、社会效益、可持续影响及服务对象满意度等内容。 </w:t>
      </w:r>
    </w:p>
    <w:p w14:paraId="0FAE99C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绩效评价工作过程</w:t>
      </w:r>
    </w:p>
    <w:p w14:paraId="17F89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江西省级项目支出和部门整体绩效评价管理暂行办法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文件要求，</w:t>
      </w:r>
      <w:r>
        <w:rPr>
          <w:rFonts w:hint="eastAsia" w:ascii="仿宋_GB2312" w:hAnsi="仿宋_GB2312" w:eastAsia="仿宋_GB2312" w:cs="仿宋_GB2312"/>
          <w:sz w:val="32"/>
          <w:szCs w:val="32"/>
        </w:rPr>
        <w:t>我局成立了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年度项目支出部门绩效评价工作小组。围绕</w:t>
      </w:r>
      <w:r>
        <w:rPr>
          <w:rFonts w:hint="eastAsia" w:ascii="仿宋_GB2312" w:hAnsi="仿宋_GB2312" w:eastAsia="仿宋_GB2312" w:cs="仿宋_GB2312"/>
          <w:sz w:val="32"/>
          <w:szCs w:val="32"/>
          <w:lang w:val="en-US" w:eastAsia="zh-CN"/>
        </w:rPr>
        <w:t>日常运转经费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年度绩效目标，工作小组认真核查相关资料，逐项严格评分并完成绩效评价报告，评价结果力求客观、 公正、全面地反映</w:t>
      </w:r>
      <w:r>
        <w:rPr>
          <w:rFonts w:hint="eastAsia" w:ascii="仿宋_GB2312" w:hAnsi="仿宋_GB2312" w:eastAsia="仿宋_GB2312" w:cs="仿宋_GB2312"/>
          <w:sz w:val="32"/>
          <w:szCs w:val="40"/>
          <w:lang w:val="en-US" w:eastAsia="zh-CN"/>
        </w:rPr>
        <w:t>二类-地方金融风险监管和防范专项经费项目</w:t>
      </w:r>
      <w:r>
        <w:rPr>
          <w:rFonts w:hint="eastAsia" w:ascii="仿宋_GB2312" w:hAnsi="仿宋_GB2312" w:eastAsia="仿宋_GB2312" w:cs="仿宋_GB2312"/>
          <w:sz w:val="32"/>
          <w:szCs w:val="32"/>
        </w:rPr>
        <w:t>实施的实际绩效。</w:t>
      </w:r>
    </w:p>
    <w:p w14:paraId="0FB447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综合评价情况及评价结论</w:t>
      </w:r>
    </w:p>
    <w:p w14:paraId="108548CA">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评分情况</w:t>
      </w:r>
    </w:p>
    <w:p w14:paraId="20D1698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z w:val="13"/>
          <w:szCs w:val="13"/>
          <w:lang w:val="en-US" w:eastAsia="zh-CN"/>
        </w:rPr>
      </w:pPr>
    </w:p>
    <w:tbl>
      <w:tblPr>
        <w:tblStyle w:val="5"/>
        <w:tblW w:w="92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7"/>
        <w:gridCol w:w="990"/>
        <w:gridCol w:w="1485"/>
        <w:gridCol w:w="716"/>
        <w:gridCol w:w="3124"/>
        <w:gridCol w:w="806"/>
        <w:gridCol w:w="945"/>
      </w:tblGrid>
      <w:tr w14:paraId="3E73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tcBorders>
              <w:top w:val="single" w:color="000000" w:sz="4" w:space="0"/>
              <w:left w:val="single" w:color="000000" w:sz="4" w:space="0"/>
              <w:bottom w:val="single" w:color="000000" w:sz="4" w:space="0"/>
              <w:right w:val="single" w:color="000000" w:sz="4" w:space="0"/>
            </w:tcBorders>
            <w:noWrap/>
            <w:vAlign w:val="center"/>
          </w:tcPr>
          <w:p w14:paraId="74C70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A24A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10B378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EC363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3287FE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90D40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C60D5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14:paraId="1D57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630AD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14:paraId="6938E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7A8C4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2C47A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1099E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D512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8104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AB4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47761FBC">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3356EA53">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024008F">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3907B6D7">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3942D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532E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7AEA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6D7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2DE13F41">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451BFC5F">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05524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20B21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0532F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88F8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81BF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545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362B668B">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0AC98FE8">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228AAA5">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1A1E7F29">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5DF76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A9E8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4441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8D4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8C9D7E2">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5862142F">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72879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6A53D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1C01C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5503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3666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AA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1BD6CCAA">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45A5A374">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754034C">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2F275EC9">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33408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FE3D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42A7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2FD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5B9B7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5C8C5D5F">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254F2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47C7F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6363A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7262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3BCF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r>
      <w:tr w14:paraId="7915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3E4CAD75">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3C5E6AF5">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4AA1EE1">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600A75B2">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5909E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2C6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ED9D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41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0C7D467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024B7755">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0222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2D06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26258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DF2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ED21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FBE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39025E7">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67ADFF1">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60C4E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3E9E1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13215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26A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C6BDB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r>
      <w:tr w14:paraId="01FB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1CC96A40">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D91ECB2">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751C63C6">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4FFFD9A4">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0377D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管理执行有效性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EBA4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F297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071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069E7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14:paraId="2799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15FD3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产出数量</w:t>
            </w:r>
          </w:p>
        </w:tc>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14:paraId="161AF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68EB09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地方金融机构（融担、小贷、典当行等）现场检查次数</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535D5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0D67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14:paraId="1FAA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12EE6C7B">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00E56769">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189DD058">
            <w:pPr>
              <w:jc w:val="center"/>
              <w:rPr>
                <w:rFonts w:hint="eastAsia" w:ascii="宋体" w:hAnsi="宋体" w:eastAsia="宋体" w:cs="宋体"/>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14:paraId="3C8E3C2D">
            <w:pPr>
              <w:jc w:val="center"/>
              <w:rPr>
                <w:rFonts w:hint="eastAsia" w:ascii="宋体" w:hAnsi="宋体" w:eastAsia="宋体" w:cs="宋体"/>
                <w:i w:val="0"/>
                <w:iCs w:val="0"/>
                <w:color w:val="000000"/>
                <w:sz w:val="22"/>
                <w:szCs w:val="22"/>
                <w:u w:val="none"/>
              </w:rPr>
            </w:pP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0BE42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防范非法集资培训、宣传次数</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4AAE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52E13A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r>
      <w:tr w14:paraId="4A67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75B8ADF7">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2AC64C35">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A51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产出时效</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69AA1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69CB3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按照上级要求时间节点前完成</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772141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BD4F3C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r>
      <w:tr w14:paraId="0DD3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7D6338A1">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2BCEF1F2">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A2FC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产出成本</w:t>
            </w:r>
          </w:p>
        </w:tc>
        <w:tc>
          <w:tcPr>
            <w:tcW w:w="716" w:type="dxa"/>
            <w:tcBorders>
              <w:top w:val="nil"/>
              <w:left w:val="single" w:color="000000" w:sz="4" w:space="0"/>
              <w:bottom w:val="single" w:color="000000" w:sz="4" w:space="0"/>
              <w:right w:val="single" w:color="000000" w:sz="4" w:space="0"/>
            </w:tcBorders>
            <w:noWrap/>
            <w:vAlign w:val="center"/>
          </w:tcPr>
          <w:p w14:paraId="1EE5441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3A32B5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开展金融风险监管和防范工作经费资金</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0EF5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5A4001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r>
      <w:tr w14:paraId="069F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1A7D4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7CB4C99">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6F92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E4E6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6EFBC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防止出现区域性金融风险</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FF2E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46AA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r>
      <w:tr w14:paraId="4AC6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A7EB02A">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25D7532B">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36CE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6FE9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2432E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提升地方金融监管能力</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7739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68863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w:t>
            </w:r>
          </w:p>
        </w:tc>
      </w:tr>
      <w:tr w14:paraId="550F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2E6300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718EB30D">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B80A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F50C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0FC32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宣传、检查、监测、打击，加强非法集资的防范和打击力度，优化我市金融生态环境。</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F9B4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6180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r>
      <w:tr w14:paraId="7ACE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2375AC9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2E7DE79C">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1452E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61AD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3CDC4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2F0F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F4EC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r>
      <w:tr w14:paraId="0F2D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tcBorders>
              <w:top w:val="single" w:color="000000" w:sz="4" w:space="0"/>
              <w:left w:val="single" w:color="000000" w:sz="4" w:space="0"/>
              <w:bottom w:val="single" w:color="000000" w:sz="4" w:space="0"/>
              <w:right w:val="single" w:color="000000" w:sz="4" w:space="0"/>
            </w:tcBorders>
            <w:noWrap/>
            <w:vAlign w:val="center"/>
          </w:tcPr>
          <w:p w14:paraId="7E3A1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4776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CD78637">
            <w:pPr>
              <w:jc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DF7F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0E9C4F68">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FD9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68012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9</w:t>
            </w:r>
          </w:p>
        </w:tc>
      </w:tr>
      <w:tr w14:paraId="3C70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67" w:type="dxa"/>
            <w:tcBorders>
              <w:top w:val="single" w:color="000000" w:sz="4" w:space="0"/>
              <w:left w:val="single" w:color="000000" w:sz="4" w:space="0"/>
              <w:bottom w:val="single" w:color="000000" w:sz="4" w:space="0"/>
              <w:right w:val="single" w:color="000000" w:sz="4" w:space="0"/>
            </w:tcBorders>
            <w:noWrap/>
            <w:vAlign w:val="center"/>
          </w:tcPr>
          <w:p w14:paraId="3EC24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评价等次</w:t>
            </w:r>
          </w:p>
        </w:tc>
        <w:tc>
          <w:tcPr>
            <w:tcW w:w="8066" w:type="dxa"/>
            <w:gridSpan w:val="6"/>
            <w:tcBorders>
              <w:top w:val="single" w:color="000000" w:sz="4" w:space="0"/>
              <w:left w:val="single" w:color="000000" w:sz="4" w:space="0"/>
              <w:bottom w:val="single" w:color="000000" w:sz="4" w:space="0"/>
              <w:right w:val="single" w:color="000000" w:sz="4" w:space="0"/>
            </w:tcBorders>
            <w:noWrap/>
            <w:vAlign w:val="center"/>
          </w:tcPr>
          <w:p w14:paraId="448CF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r>
              <w:rPr>
                <w:rStyle w:val="7"/>
                <w:rFonts w:eastAsia="宋体"/>
                <w:lang w:val="en-US" w:eastAsia="zh-CN" w:bidi="ar"/>
              </w:rPr>
              <w:t>√</w:t>
            </w:r>
            <w:r>
              <w:rPr>
                <w:rStyle w:val="8"/>
                <w:lang w:val="en-US" w:eastAsia="zh-CN" w:bidi="ar"/>
              </w:rPr>
              <w:t xml:space="preserve"> 良</w:t>
            </w:r>
            <w:r>
              <w:rPr>
                <w:rStyle w:val="9"/>
                <w:rFonts w:eastAsia="宋体"/>
                <w:lang w:val="en-US" w:eastAsia="zh-CN" w:bidi="ar"/>
              </w:rPr>
              <w:t>¨</w:t>
            </w:r>
            <w:r>
              <w:rPr>
                <w:rStyle w:val="8"/>
                <w:lang w:val="en-US" w:eastAsia="zh-CN" w:bidi="ar"/>
              </w:rPr>
              <w:t xml:space="preserve"> 中</w:t>
            </w:r>
            <w:r>
              <w:rPr>
                <w:rStyle w:val="9"/>
                <w:rFonts w:eastAsia="宋体"/>
                <w:lang w:val="en-US" w:eastAsia="zh-CN" w:bidi="ar"/>
              </w:rPr>
              <w:t>¨</w:t>
            </w:r>
            <w:r>
              <w:rPr>
                <w:rStyle w:val="8"/>
                <w:lang w:val="en-US" w:eastAsia="zh-CN" w:bidi="ar"/>
              </w:rPr>
              <w:t xml:space="preserve"> 差</w:t>
            </w:r>
            <w:r>
              <w:rPr>
                <w:rStyle w:val="9"/>
                <w:rFonts w:eastAsia="宋体"/>
                <w:lang w:val="en-US" w:eastAsia="zh-CN" w:bidi="ar"/>
              </w:rPr>
              <w:t>¨</w:t>
            </w:r>
          </w:p>
        </w:tc>
      </w:tr>
    </w:tbl>
    <w:p w14:paraId="4A7EAD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（二）评价结论</w:t>
      </w:r>
    </w:p>
    <w:p w14:paraId="68611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经评价，</w:t>
      </w:r>
      <w:r>
        <w:rPr>
          <w:rFonts w:hint="eastAsia" w:ascii="仿宋_GB2312" w:hAnsi="仿宋_GB2312" w:eastAsia="仿宋_GB2312" w:cs="仿宋_GB2312"/>
          <w:sz w:val="32"/>
          <w:szCs w:val="40"/>
          <w:lang w:val="en-US" w:eastAsia="zh-CN"/>
        </w:rPr>
        <w:t>二类-地方金融风险监管和防范专项经费绩效评价得分99分，评价等级为“优秀”。</w:t>
      </w:r>
    </w:p>
    <w:p w14:paraId="7CC484FE">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主要经验及做法、存在的问题及原因分析</w:t>
      </w:r>
    </w:p>
    <w:p w14:paraId="115C0C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主要经验及做法</w:t>
      </w:r>
    </w:p>
    <w:p w14:paraId="534B323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年，我市主要金融指标稳中有进，金融风险防控扎实有效，守住了不发生区域性金融风险底线，金融运行总体平稳有序，为全</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高质量发展贡献金融力量。</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kern w:val="2"/>
          <w:sz w:val="32"/>
          <w:szCs w:val="32"/>
          <w:lang w:val="en-US" w:eastAsia="zh-CN" w:bidi="ar-SA"/>
        </w:rPr>
        <w:t>从严从紧抓好监管。</w:t>
      </w:r>
      <w:r>
        <w:rPr>
          <w:rFonts w:hint="eastAsia" w:ascii="仿宋_GB2312" w:hAnsi="仿宋_GB2312" w:eastAsia="仿宋_GB2312" w:cs="仿宋_GB2312"/>
          <w:b w:val="0"/>
          <w:bCs w:val="0"/>
          <w:color w:val="auto"/>
          <w:sz w:val="32"/>
          <w:szCs w:val="32"/>
          <w:lang w:val="en-US" w:eastAsia="zh-CN"/>
        </w:rPr>
        <w:t>建立统一协调、相互协作的工作机制，</w:t>
      </w:r>
      <w:r>
        <w:rPr>
          <w:rFonts w:hint="eastAsia" w:ascii="仿宋_GB2312" w:hAnsi="仿宋_GB2312" w:eastAsia="仿宋_GB2312" w:cs="仿宋_GB2312"/>
          <w:b w:val="0"/>
          <w:bCs w:val="0"/>
          <w:sz w:val="32"/>
          <w:szCs w:val="32"/>
          <w:lang w:val="en-US" w:eastAsia="zh-CN"/>
        </w:rPr>
        <w:t>及时跟进“赣金鹰眼”平台存案处置进展情况，规范“7+4”类金融机构数据报送，认真做好小额贷款公司分类评级、典当行自查自纠、融资担保现场检查工作，</w:t>
      </w:r>
      <w:r>
        <w:rPr>
          <w:rFonts w:hint="eastAsia" w:ascii="仿宋_GB2312" w:hAnsi="仿宋_GB2312" w:eastAsia="仿宋_GB2312" w:cs="仿宋_GB2312"/>
          <w:b w:val="0"/>
          <w:bCs w:val="0"/>
          <w:sz w:val="32"/>
          <w:szCs w:val="32"/>
          <w:highlight w:val="none"/>
          <w:lang w:val="en-US" w:eastAsia="zh-CN"/>
        </w:rPr>
        <w:t>强化地方金融风险防范化解和处置，</w:t>
      </w:r>
      <w:r>
        <w:rPr>
          <w:rFonts w:hint="eastAsia" w:ascii="仿宋_GB2312" w:hAnsi="仿宋_GB2312" w:eastAsia="仿宋_GB2312" w:cs="仿宋_GB2312"/>
          <w:b w:val="0"/>
          <w:bCs w:val="0"/>
          <w:sz w:val="32"/>
          <w:szCs w:val="32"/>
          <w:lang w:val="en-US" w:eastAsia="zh-CN"/>
        </w:rPr>
        <w:t>净化地方金融环境。</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val="0"/>
          <w:bCs w:val="0"/>
          <w:color w:val="auto"/>
          <w:sz w:val="32"/>
          <w:szCs w:val="32"/>
          <w:lang w:val="en-US" w:eastAsia="zh-CN"/>
        </w:rPr>
        <w:t>高质高效推进处非。</w:t>
      </w:r>
      <w:r>
        <w:rPr>
          <w:rFonts w:hint="eastAsia" w:ascii="仿宋_GB2312" w:hAnsi="仿宋_GB2312" w:eastAsia="仿宋_GB2312" w:cs="仿宋_GB2312"/>
          <w:b w:val="0"/>
          <w:bCs w:val="0"/>
          <w:sz w:val="32"/>
          <w:szCs w:val="32"/>
          <w:lang w:val="en-US" w:eastAsia="zh-CN"/>
        </w:rPr>
        <w:t>建立健全防范预警机制，运用“赣金鹰眼”监测预警平台，做好日常监测和风险预警。定期召开全市非法集资存量案件化解调度会，完成省市对县非法集资存案化解任务。</w:t>
      </w:r>
    </w:p>
    <w:p w14:paraId="6768C3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（二）存在的问题及建议</w:t>
      </w:r>
    </w:p>
    <w:p w14:paraId="6E3518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_GB2312"/>
          <w:sz w:val="32"/>
          <w:szCs w:val="40"/>
          <w:lang w:val="en-US" w:eastAsia="zh-CN"/>
        </w:rPr>
      </w:pPr>
      <w:bookmarkStart w:id="0" w:name="_GoBack"/>
      <w:bookmarkEnd w:id="0"/>
      <w:r>
        <w:rPr>
          <w:rFonts w:hint="eastAsia" w:ascii="仿宋" w:hAnsi="仿宋" w:eastAsia="仿宋" w:cs="仿宋_GB2312"/>
          <w:sz w:val="32"/>
          <w:szCs w:val="40"/>
          <w:lang w:val="en-US" w:eastAsia="zh-CN"/>
        </w:rPr>
        <w:t>建议财务与业务人员加强专项费用支出对接，避免年底扎堆报账。</w:t>
      </w:r>
    </w:p>
    <w:p w14:paraId="792FF7A7"/>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39020"/>
    <w:multiLevelType w:val="singleLevel"/>
    <w:tmpl w:val="81739020"/>
    <w:lvl w:ilvl="0" w:tentative="0">
      <w:start w:val="1"/>
      <w:numFmt w:val="chineseCounting"/>
      <w:suff w:val="nothing"/>
      <w:lvlText w:val="（%1）"/>
      <w:lvlJc w:val="left"/>
      <w:rPr>
        <w:rFonts w:hint="eastAsia"/>
      </w:rPr>
    </w:lvl>
  </w:abstractNum>
  <w:abstractNum w:abstractNumId="1">
    <w:nsid w:val="8C034A4E"/>
    <w:multiLevelType w:val="singleLevel"/>
    <w:tmpl w:val="8C034A4E"/>
    <w:lvl w:ilvl="0" w:tentative="0">
      <w:start w:val="1"/>
      <w:numFmt w:val="decimal"/>
      <w:suff w:val="nothing"/>
      <w:lvlText w:val="（%1）"/>
      <w:lvlJc w:val="left"/>
    </w:lvl>
  </w:abstractNum>
  <w:abstractNum w:abstractNumId="2">
    <w:nsid w:val="8DAA1CBD"/>
    <w:multiLevelType w:val="singleLevel"/>
    <w:tmpl w:val="8DAA1CBD"/>
    <w:lvl w:ilvl="0" w:tentative="0">
      <w:start w:val="2"/>
      <w:numFmt w:val="decimal"/>
      <w:lvlText w:val="%1."/>
      <w:lvlJc w:val="left"/>
      <w:pPr>
        <w:tabs>
          <w:tab w:val="left" w:pos="312"/>
        </w:tabs>
      </w:pPr>
    </w:lvl>
  </w:abstractNum>
  <w:abstractNum w:abstractNumId="3">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4">
    <w:nsid w:val="AA52C4AD"/>
    <w:multiLevelType w:val="singleLevel"/>
    <w:tmpl w:val="AA52C4AD"/>
    <w:lvl w:ilvl="0" w:tentative="0">
      <w:start w:val="1"/>
      <w:numFmt w:val="chineseCounting"/>
      <w:suff w:val="nothing"/>
      <w:lvlText w:val="%1、"/>
      <w:lvlJc w:val="left"/>
      <w:rPr>
        <w:rFonts w:hint="eastAsia"/>
      </w:rPr>
    </w:lvl>
  </w:abstractNum>
  <w:abstractNum w:abstractNumId="5">
    <w:nsid w:val="6D041C08"/>
    <w:multiLevelType w:val="singleLevel"/>
    <w:tmpl w:val="6D041C08"/>
    <w:lvl w:ilvl="0" w:tentative="0">
      <w:start w:val="1"/>
      <w:numFmt w:val="chineseCounting"/>
      <w:suff w:val="nothing"/>
      <w:lvlText w:val="（%1）"/>
      <w:lvlJc w:val="left"/>
      <w:pPr>
        <w:ind w:left="0" w:firstLine="420"/>
      </w:pPr>
      <w:rPr>
        <w:rFonts w:hint="eastAsia"/>
      </w:rPr>
    </w:lvl>
  </w:abstractNum>
  <w:abstractNum w:abstractNumId="6">
    <w:nsid w:val="7764DDFF"/>
    <w:multiLevelType w:val="singleLevel"/>
    <w:tmpl w:val="7764DDFF"/>
    <w:lvl w:ilvl="0" w:tentative="0">
      <w:start w:val="1"/>
      <w:numFmt w:val="decimal"/>
      <w:suff w:val="nothing"/>
      <w:lvlText w:val="（%1）"/>
      <w:lvlJc w:val="left"/>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M2U5ZTRkNTJiYzFiZDAyZWNjOTRmODg0NGRlODkifQ=="/>
  </w:docVars>
  <w:rsids>
    <w:rsidRoot w:val="00000000"/>
    <w:rsid w:val="04D87301"/>
    <w:rsid w:val="277E6796"/>
    <w:rsid w:val="2C451D4A"/>
    <w:rsid w:val="371D4866"/>
    <w:rsid w:val="436E0B9C"/>
    <w:rsid w:val="46E7041F"/>
    <w:rsid w:val="51397FB8"/>
    <w:rsid w:val="51F200BE"/>
    <w:rsid w:val="58706754"/>
    <w:rsid w:val="67C373FF"/>
    <w:rsid w:val="7D9C5DDB"/>
    <w:rsid w:val="7DB4699A"/>
    <w:rsid w:val="7DDA2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unhideWhenUsed/>
    <w:qFormat/>
    <w:uiPriority w:val="9"/>
    <w:pPr>
      <w:keepNext/>
      <w:keepLines/>
      <w:spacing w:before="60" w:beforeLines="0" w:after="60" w:afterLines="0" w:line="312" w:lineRule="auto"/>
      <w:ind w:left="0" w:leftChars="0" w:firstLine="880" w:firstLineChars="200"/>
      <w:outlineLvl w:val="3"/>
    </w:pPr>
    <w:rPr>
      <w:rFonts w:ascii="Cambria" w:hAnsi="Cambria" w:eastAsia="宋体" w:cs="Times New Roman"/>
      <w:b/>
      <w:bCs/>
      <w:sz w:val="24"/>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99"/>
    <w:pPr>
      <w:widowControl w:val="0"/>
      <w:adjustRightInd w:val="0"/>
      <w:spacing w:line="312" w:lineRule="atLeast"/>
      <w:ind w:left="420" w:leftChars="200"/>
      <w:jc w:val="both"/>
      <w:textAlignment w:val="baseline"/>
    </w:pPr>
    <w:rPr>
      <w:rFonts w:ascii="Times New Roman" w:hAnsi="Times New Roman" w:eastAsia="宋体" w:cs="Times New Roman"/>
      <w:sz w:val="16"/>
      <w:szCs w:val="16"/>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21"/>
    <w:basedOn w:val="6"/>
    <w:qFormat/>
    <w:uiPriority w:val="0"/>
    <w:rPr>
      <w:rFonts w:ascii="Arial" w:hAnsi="Arial" w:cs="Arial"/>
      <w:b/>
      <w:bCs/>
      <w:color w:val="000000"/>
      <w:sz w:val="22"/>
      <w:szCs w:val="22"/>
      <w:u w:val="none"/>
    </w:rPr>
  </w:style>
  <w:style w:type="character" w:customStyle="1" w:styleId="8">
    <w:name w:val="font11"/>
    <w:basedOn w:val="6"/>
    <w:uiPriority w:val="0"/>
    <w:rPr>
      <w:rFonts w:hint="eastAsia" w:ascii="宋体" w:hAnsi="宋体" w:eastAsia="宋体" w:cs="宋体"/>
      <w:color w:val="000000"/>
      <w:sz w:val="22"/>
      <w:szCs w:val="22"/>
      <w:u w:val="none"/>
    </w:rPr>
  </w:style>
  <w:style w:type="character" w:customStyle="1" w:styleId="9">
    <w:name w:val="font31"/>
    <w:basedOn w:val="6"/>
    <w:qFormat/>
    <w:uiPriority w:val="0"/>
    <w:rPr>
      <w:rFonts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2120</Words>
  <Characters>2217</Characters>
  <Lines>0</Lines>
  <Paragraphs>0</Paragraphs>
  <TotalTime>1</TotalTime>
  <ScaleCrop>false</ScaleCrop>
  <LinksUpToDate>false</LinksUpToDate>
  <CharactersWithSpaces>2245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2022-05-30T09:38:00Z</dcterms:created>
  <dc:creator>wzsof</dc:creator>
  <cp:lastModifiedBy>HYL</cp:lastModifiedBy>
  <dcterms:modified xsi:type="dcterms:W3CDTF">2024-10-15T09:57:15Z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13EBE61DE7A349D3B9ABD1A467F112CE_13</vt:lpwstr>
  </property>
</Properties>
</file>