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sz w:val="44"/>
          <w:szCs w:val="32"/>
        </w:rPr>
      </w:pPr>
      <w:bookmarkStart w:id="0" w:name="_GoBack"/>
      <w:bookmarkEnd w:id="0"/>
      <w:r>
        <w:rPr>
          <w:rFonts w:hint="eastAsia" w:ascii="方正小标宋简体" w:hAnsi="方正小标宋简体" w:eastAsia="方正小标宋简体"/>
          <w:sz w:val="44"/>
          <w:szCs w:val="32"/>
        </w:rPr>
        <w:t>部门整体支出绩效自评报告</w:t>
      </w:r>
    </w:p>
    <w:p>
      <w:pPr>
        <w:spacing w:line="620" w:lineRule="exact"/>
        <w:jc w:val="center"/>
        <w:rPr>
          <w:rFonts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2020</w:t>
      </w:r>
      <w:r>
        <w:rPr>
          <w:rFonts w:hint="eastAsia" w:ascii="楷体_GB2312" w:hAnsi="楷体_GB2312" w:eastAsia="楷体_GB2312"/>
          <w:sz w:val="32"/>
          <w:szCs w:val="32"/>
        </w:rPr>
        <w:t>年度）</w:t>
      </w:r>
    </w:p>
    <w:p>
      <w:pPr>
        <w:spacing w:line="620" w:lineRule="exact"/>
        <w:jc w:val="center"/>
        <w:rPr>
          <w:rFonts w:ascii="仿宋" w:hAnsi="仿宋" w:eastAsia="仿宋"/>
          <w:szCs w:val="32"/>
        </w:rPr>
      </w:pPr>
    </w:p>
    <w:p>
      <w:pPr>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根据《</w:t>
      </w:r>
      <w:r>
        <w:rPr>
          <w:rFonts w:hint="eastAsia" w:ascii="仿宋_GB2312" w:hAnsi="仿宋" w:eastAsia="仿宋_GB2312" w:cs="仿宋"/>
          <w:sz w:val="32"/>
          <w:szCs w:val="32"/>
          <w:lang w:eastAsia="zh-CN"/>
        </w:rPr>
        <w:t>关于开展</w:t>
      </w:r>
      <w:r>
        <w:rPr>
          <w:rFonts w:hint="eastAsia" w:ascii="仿宋_GB2312" w:hAnsi="仿宋" w:eastAsia="仿宋_GB2312" w:cs="仿宋"/>
          <w:sz w:val="32"/>
          <w:szCs w:val="32"/>
          <w:lang w:val="en-US" w:eastAsia="zh-CN"/>
        </w:rPr>
        <w:t>2020年度预算项目、部门整体支出及转移支付预算执行情况绩效自评工作的通知</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共财发</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021</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号）文件要求，本局组织相关人员认真学习研究文件，积极开展本单位的预算绩效自评工作，现将自评工作总结如下：</w:t>
      </w:r>
    </w:p>
    <w:p>
      <w:pPr>
        <w:spacing w:line="620" w:lineRule="exact"/>
        <w:ind w:firstLine="640" w:firstLineChars="200"/>
        <w:rPr>
          <w:rFonts w:ascii="黑体" w:hAnsi="黑体" w:eastAsia="黑体"/>
          <w:sz w:val="32"/>
        </w:rPr>
      </w:pPr>
      <w:r>
        <w:rPr>
          <w:rFonts w:hint="eastAsia" w:ascii="黑体" w:hAnsi="黑体" w:eastAsia="黑体"/>
          <w:sz w:val="32"/>
        </w:rPr>
        <w:t>一、部门概况</w:t>
      </w:r>
    </w:p>
    <w:p>
      <w:pPr>
        <w:numPr>
          <w:ilvl w:val="0"/>
          <w:numId w:val="0"/>
        </w:numPr>
        <w:ind w:firstLine="640" w:firstLineChars="200"/>
        <w:jc w:val="left"/>
        <w:rPr>
          <w:rFonts w:hint="eastAsia" w:ascii="仿宋" w:hAnsi="仿宋" w:eastAsia="仿宋" w:cs="仿宋"/>
          <w:sz w:val="32"/>
          <w:szCs w:val="32"/>
          <w:lang w:eastAsia="zh-CN"/>
        </w:rPr>
      </w:pPr>
      <w:r>
        <w:rPr>
          <w:rFonts w:hint="eastAsia" w:ascii="仿宋_GB2312" w:hAnsi="仿宋_GB2312" w:eastAsia="仿宋_GB2312"/>
          <w:sz w:val="32"/>
        </w:rPr>
        <w:t>（一）部门主要职责职能，组织架构、人员等基本情况。</w:t>
      </w:r>
      <w:r>
        <w:rPr>
          <w:rFonts w:hint="eastAsia" w:ascii="仿宋" w:hAnsi="仿宋" w:eastAsia="仿宋" w:cs="仿宋"/>
          <w:b w:val="0"/>
          <w:bCs/>
          <w:sz w:val="32"/>
          <w:szCs w:val="32"/>
          <w:lang w:val="en-US" w:eastAsia="zh-CN"/>
        </w:rPr>
        <w:t>共青城市交通运输局因为机构体制改革2019年3月从共青城市城乡建设和交通运输局分离出来。</w:t>
      </w:r>
      <w:r>
        <w:rPr>
          <w:rFonts w:hint="eastAsia" w:ascii="仿宋" w:hAnsi="仿宋" w:eastAsia="仿宋" w:cs="仿宋"/>
          <w:b w:val="0"/>
          <w:bCs/>
          <w:sz w:val="32"/>
          <w:szCs w:val="32"/>
          <w:lang w:eastAsia="zh-CN"/>
        </w:rPr>
        <w:t>共</w:t>
      </w:r>
      <w:r>
        <w:rPr>
          <w:rFonts w:hint="eastAsia" w:ascii="仿宋" w:hAnsi="仿宋" w:eastAsia="仿宋" w:cs="仿宋"/>
          <w:sz w:val="32"/>
          <w:szCs w:val="32"/>
          <w:lang w:eastAsia="zh-CN"/>
        </w:rPr>
        <w:t xml:space="preserve">青城市交通运输局为市政府工作部门，主管交通运输工作。将公路管理局、道路运输管理分局、水路运输管理承担的有关行政职能划入市交通运输局，分步组织实施。主要职责：（1）贯彻执行国家和省、市有关交通运输的政策、法规，并负责监督检查实施；拟定全市公路、城乡客货运输等交通运输行业发展战略、方针政策和行业规章、实施细则并监督实施；负责交通执法检查管理和监督工作。（2)负责制定和汇总上报全市交通运输行业发展规划、中长期规划和年度计划并组织实施；负责交通运输行业统计和信息引导工作。（3）负责对重点物资和紧急客货运输进行调控；负责交通行业体制改革；对公路运输市场和建设市场实施监督管理、维护公路、城乡客货运输等交通行业的平等竞争秩序，引导交通运输业优化结构、协调发展。（4）负责组织全市公路及其配套实设施的建设、维护和交通项目的审查、审批、报批工作；组织实施全市公路交通工程、客货运站场、防护安保工程的建设、维护；负责公路路政管理、统筹组织全市车辆超限超载运输治理工作；负责对中央、省、市下拨专项资金、市自筹资金及利用外资进行拨付监管和审计；负责公路及配套设施、客货运站场等交通工程造价控制和质量安全监督管理。（5）负责全市道路运输管理，综合管理全市道路客货运输业（含城市公共汽车客运、班车客运、定线客运、旅游客运、出租客运、普货运输、零担货物运输、特种货物运输、集装箱运输、冷藏运输、危货运输。搬家运输）、营运性客货站（场）（含为客货运输服务的停车站场、客货运代理、仓储现货、货物配载交易、中转联运、物流企业及经营场所货物包装、运输信息、车辆租赁、驾驶员培训及经营性教练场地、物流企业货运及经营场所、汽车维修、汽车综合性能检测、搬运装卸、道路运输服务、汽车驾驶学校和驾驶员培训工作，负责新增运力的许可、核准、备案、管理和经营资质、经营行为的年度审验；指导交通行业的安全生产及其监管工作；参与重特大交通事故的救助、调查处理、城区交通运输秩序的规范整治、机动车尾气噪声治理等工作。（6）负责公路治理“三乱”工作，会同有关部门查处交通执法中违法乱纪案件。（7）、拟定地方性交通行业科技政策、规划和规范；负责实施交通行业技术标准和规范工作；组织落实有关交通科技项目攻关和科技开发，组织收集、交流科技情报信息。（8）、负责规划全市国防交通网络布局，组织实施国防交通战备硬件建设，拟定国防交通战备保障计划，管理、训练国防交通战备队伍，负责国防主要物资的储备和调用。（9)制定交通行业人才培训计划、职业技术教育、成人继续教育等；会同有关部门考核和评定本市交通行业技术职称和技术等级；负责全市交通行业精神文明建设和职工队伍建设。(10)承办市委、市人民政府和上级主管部门交办的其他事项。 </w:t>
      </w:r>
    </w:p>
    <w:p>
      <w:pPr>
        <w:spacing w:line="520" w:lineRule="exact"/>
        <w:ind w:firstLine="640" w:firstLineChars="200"/>
        <w:jc w:val="left"/>
        <w:rPr>
          <w:rFonts w:ascii="仿宋_GB2312" w:hAnsi="仿宋_GB2312" w:eastAsia="仿宋_GB2312"/>
          <w:sz w:val="32"/>
        </w:rPr>
      </w:pPr>
      <w:r>
        <w:rPr>
          <w:rFonts w:hint="eastAsia" w:ascii="仿宋_GB2312" w:hAnsi="仿宋" w:eastAsia="仿宋_GB2312" w:cs="仿宋"/>
          <w:sz w:val="32"/>
          <w:szCs w:val="32"/>
          <w:lang w:eastAsia="zh-CN"/>
        </w:rPr>
        <w:t>共青城市</w:t>
      </w:r>
      <w:r>
        <w:rPr>
          <w:rFonts w:hint="eastAsia" w:ascii="仿宋_GB2312" w:hAnsi="仿宋" w:eastAsia="仿宋_GB2312" w:cs="仿宋"/>
          <w:sz w:val="32"/>
          <w:szCs w:val="32"/>
        </w:rPr>
        <w:t>交通运输局编制人数为</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人，其中：行政编制</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人、全额事业编制</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人，实有人数</w:t>
      </w:r>
      <w:r>
        <w:rPr>
          <w:rFonts w:hint="eastAsia" w:ascii="仿宋_GB2312" w:hAnsi="仿宋" w:eastAsia="仿宋_GB2312" w:cs="仿宋"/>
          <w:sz w:val="32"/>
          <w:szCs w:val="32"/>
          <w:lang w:val="en-US" w:eastAsia="zh-CN"/>
        </w:rPr>
        <w:t>44</w:t>
      </w:r>
      <w:r>
        <w:rPr>
          <w:rFonts w:hint="eastAsia" w:ascii="仿宋_GB2312" w:hAnsi="仿宋" w:eastAsia="仿宋_GB2312" w:cs="仿宋"/>
          <w:sz w:val="32"/>
          <w:szCs w:val="32"/>
        </w:rPr>
        <w:t>人，其中：在职行政</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人、全额事业</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退休</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人。</w:t>
      </w:r>
    </w:p>
    <w:p>
      <w:pPr>
        <w:numPr>
          <w:ilvl w:val="0"/>
          <w:numId w:val="1"/>
        </w:num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当年部门履职总体目标、工作任务。</w:t>
      </w:r>
    </w:p>
    <w:p>
      <w:pPr>
        <w:pStyle w:val="2"/>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b w:val="0"/>
          <w:bCs w:val="0"/>
          <w:spacing w:val="0"/>
          <w:sz w:val="32"/>
          <w:szCs w:val="32"/>
          <w:lang w:val="en-US" w:eastAsia="zh-CN"/>
        </w:rPr>
        <w:t>预计将建设15个项目，预计投入资金3.5亿，我局将严控工程建设程序，严把工程质量关，确保公路建设项目如期完工；继续抓好“四好农村路”建设，强化公路养管科学化、标准化；规范交通运输综合执法，持续加大客货市场整治，不断规范交通运输市场，</w:t>
      </w:r>
      <w:r>
        <w:rPr>
          <w:rFonts w:hint="eastAsia" w:ascii="仿宋_GB2312" w:hAnsi="宋体" w:eastAsia="仿宋_GB2312" w:cs="仿宋_GB2312"/>
          <w:b w:val="0"/>
          <w:color w:val="000000"/>
          <w:spacing w:val="0"/>
          <w:kern w:val="0"/>
          <w:sz w:val="31"/>
          <w:szCs w:val="31"/>
          <w:shd w:val="clear" w:color="auto" w:fill="FFFFFF"/>
          <w:lang w:val="en-US" w:eastAsia="zh-CN" w:bidi="ar"/>
        </w:rPr>
        <w:t>加快交通基础设施建设，提高路网服务功能，完善符合城市发展的交通运输体系。</w:t>
      </w:r>
    </w:p>
    <w:p>
      <w:pPr>
        <w:numPr>
          <w:ilvl w:val="0"/>
          <w:numId w:val="1"/>
        </w:numPr>
        <w:spacing w:line="620" w:lineRule="exact"/>
        <w:ind w:left="0" w:leftChars="0" w:firstLine="640" w:firstLineChars="200"/>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年度整体支出绩效目标。</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目标1：确保交通运输职能正常开展，经费合理使用；</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目标2：确保交通运输职能正常开展，确保人员经费到位；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目标3：进一步提高道路运输秩序管理能力，构建安全、便捷、高效、绿色、经  济的现代化综合交通体系；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目标4：可适当解决农村公路养护工程资金瓶颈，减轻地方财政资金压力，为交通强市发挥好应有的职能；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目标5：进一步提高道路运输秩序，保障道路运输的社会经济效益；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sz w:val="32"/>
          <w:szCs w:val="30"/>
        </w:rPr>
      </w:pPr>
      <w:r>
        <w:rPr>
          <w:rFonts w:hint="eastAsia" w:ascii="仿宋" w:hAnsi="仿宋" w:eastAsia="仿宋" w:cs="仿宋"/>
          <w:sz w:val="32"/>
          <w:szCs w:val="32"/>
          <w:lang w:eastAsia="zh-CN"/>
        </w:rPr>
        <w:t>目标6：进一步加强辖区内公路规划及建设力度，对接上级交通部门，积极增资增项，完成上级下达公路建设和管理任务，并管理好已有的道路，为交通强市发挥好应有的职能。</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sz w:val="32"/>
          <w:szCs w:val="30"/>
        </w:rPr>
      </w:pPr>
      <w:r>
        <w:rPr>
          <w:rFonts w:hint="eastAsia" w:ascii="仿宋_GB2312" w:hAnsi="仿宋_GB2312" w:eastAsia="仿宋_GB2312"/>
          <w:sz w:val="32"/>
          <w:szCs w:val="30"/>
        </w:rPr>
        <w:t>部门预算绩效管理开展情况。</w:t>
      </w:r>
    </w:p>
    <w:p>
      <w:pPr>
        <w:spacing w:line="520" w:lineRule="exact"/>
        <w:ind w:firstLine="640" w:firstLineChars="200"/>
        <w:jc w:val="left"/>
        <w:rPr>
          <w:rFonts w:hint="eastAsia" w:ascii="仿宋_GB2312" w:hAnsi="仿宋_GB2312" w:eastAsia="仿宋_GB2312"/>
          <w:sz w:val="32"/>
          <w:szCs w:val="30"/>
        </w:rPr>
      </w:pPr>
      <w:r>
        <w:rPr>
          <w:rFonts w:hint="eastAsia" w:ascii="仿宋" w:hAnsi="仿宋" w:eastAsia="仿宋" w:cs="仿宋"/>
          <w:sz w:val="32"/>
          <w:szCs w:val="32"/>
        </w:rPr>
        <w:t>本局</w:t>
      </w:r>
      <w:r>
        <w:rPr>
          <w:rFonts w:hint="eastAsia" w:ascii="仿宋" w:hAnsi="仿宋" w:eastAsia="仿宋" w:cs="仿宋"/>
          <w:sz w:val="32"/>
          <w:szCs w:val="32"/>
          <w:lang w:val="en-US" w:eastAsia="zh-CN"/>
        </w:rPr>
        <w:t>2020</w:t>
      </w:r>
      <w:r>
        <w:rPr>
          <w:rFonts w:hint="eastAsia" w:ascii="仿宋" w:hAnsi="仿宋" w:eastAsia="仿宋" w:cs="仿宋"/>
          <w:sz w:val="32"/>
          <w:szCs w:val="32"/>
        </w:rPr>
        <w:t>年开展部门预算绩效自评分9</w:t>
      </w:r>
      <w:r>
        <w:rPr>
          <w:rFonts w:hint="eastAsia" w:ascii="仿宋" w:hAnsi="仿宋" w:eastAsia="仿宋" w:cs="仿宋"/>
          <w:sz w:val="32"/>
          <w:szCs w:val="32"/>
          <w:lang w:val="en-US" w:eastAsia="zh-CN"/>
        </w:rPr>
        <w:t>7</w:t>
      </w:r>
      <w:r>
        <w:rPr>
          <w:rFonts w:hint="eastAsia" w:ascii="仿宋" w:hAnsi="仿宋" w:eastAsia="仿宋" w:cs="仿宋"/>
          <w:sz w:val="32"/>
          <w:szCs w:val="32"/>
        </w:rPr>
        <w:t>分。投入管理指标自评分</w:t>
      </w:r>
      <w:r>
        <w:rPr>
          <w:rFonts w:hint="eastAsia" w:ascii="仿宋" w:hAnsi="仿宋" w:eastAsia="仿宋" w:cs="仿宋"/>
          <w:sz w:val="32"/>
          <w:szCs w:val="32"/>
          <w:lang w:val="en-US" w:eastAsia="zh-CN"/>
        </w:rPr>
        <w:t>24</w:t>
      </w:r>
      <w:r>
        <w:rPr>
          <w:rFonts w:hint="eastAsia" w:ascii="仿宋" w:hAnsi="仿宋" w:eastAsia="仿宋" w:cs="仿宋"/>
          <w:sz w:val="32"/>
          <w:szCs w:val="32"/>
        </w:rPr>
        <w:t>分，评价项目</w:t>
      </w:r>
      <w:r>
        <w:rPr>
          <w:rFonts w:hint="eastAsia" w:ascii="仿宋" w:hAnsi="仿宋" w:eastAsia="仿宋" w:cs="仿宋"/>
          <w:sz w:val="32"/>
          <w:szCs w:val="32"/>
          <w:lang w:val="en-US" w:eastAsia="zh-CN"/>
        </w:rPr>
        <w:t>7</w:t>
      </w:r>
      <w:r>
        <w:rPr>
          <w:rFonts w:hint="eastAsia" w:ascii="仿宋" w:hAnsi="仿宋" w:eastAsia="仿宋" w:cs="仿宋"/>
          <w:sz w:val="32"/>
          <w:szCs w:val="32"/>
        </w:rPr>
        <w:t>个，已全部完成；</w:t>
      </w:r>
      <w:r>
        <w:rPr>
          <w:rFonts w:hint="eastAsia" w:ascii="仿宋" w:hAnsi="仿宋" w:eastAsia="仿宋" w:cs="仿宋"/>
          <w:sz w:val="32"/>
          <w:szCs w:val="32"/>
          <w:lang w:eastAsia="zh-CN"/>
        </w:rPr>
        <w:t>产出指标</w:t>
      </w:r>
      <w:r>
        <w:rPr>
          <w:rFonts w:hint="eastAsia" w:ascii="仿宋" w:hAnsi="仿宋" w:eastAsia="仿宋" w:cs="仿宋"/>
          <w:sz w:val="32"/>
          <w:szCs w:val="32"/>
        </w:rPr>
        <w:t>自评分</w:t>
      </w:r>
      <w:r>
        <w:rPr>
          <w:rFonts w:hint="eastAsia" w:ascii="仿宋" w:hAnsi="仿宋" w:eastAsia="仿宋" w:cs="仿宋"/>
          <w:sz w:val="32"/>
          <w:szCs w:val="32"/>
          <w:lang w:val="en-US" w:eastAsia="zh-CN"/>
        </w:rPr>
        <w:t>43</w:t>
      </w:r>
      <w:r>
        <w:rPr>
          <w:rFonts w:hint="eastAsia" w:ascii="仿宋" w:hAnsi="仿宋" w:eastAsia="仿宋" w:cs="仿宋"/>
          <w:sz w:val="32"/>
          <w:szCs w:val="32"/>
        </w:rPr>
        <w:t>分，评价项目</w:t>
      </w:r>
      <w:r>
        <w:rPr>
          <w:rFonts w:hint="eastAsia" w:ascii="仿宋" w:hAnsi="仿宋" w:eastAsia="仿宋" w:cs="仿宋"/>
          <w:sz w:val="32"/>
          <w:szCs w:val="32"/>
          <w:lang w:val="en-US" w:eastAsia="zh-CN"/>
        </w:rPr>
        <w:t>21</w:t>
      </w:r>
      <w:r>
        <w:rPr>
          <w:rFonts w:hint="eastAsia" w:ascii="仿宋" w:hAnsi="仿宋" w:eastAsia="仿宋" w:cs="仿宋"/>
          <w:sz w:val="32"/>
          <w:szCs w:val="32"/>
        </w:rPr>
        <w:t>个，做到准确、合理、完整、及时；</w:t>
      </w:r>
      <w:r>
        <w:rPr>
          <w:rFonts w:hint="eastAsia" w:ascii="仿宋" w:hAnsi="仿宋" w:eastAsia="仿宋" w:cs="仿宋"/>
          <w:sz w:val="32"/>
          <w:szCs w:val="32"/>
          <w:lang w:eastAsia="zh-CN"/>
        </w:rPr>
        <w:t>效果指标</w:t>
      </w:r>
      <w:r>
        <w:rPr>
          <w:rFonts w:hint="eastAsia" w:ascii="仿宋" w:hAnsi="仿宋" w:eastAsia="仿宋" w:cs="仿宋"/>
          <w:sz w:val="32"/>
          <w:szCs w:val="32"/>
        </w:rPr>
        <w:t>自评分</w:t>
      </w:r>
      <w:r>
        <w:rPr>
          <w:rFonts w:hint="eastAsia" w:ascii="仿宋" w:hAnsi="仿宋" w:eastAsia="仿宋" w:cs="仿宋"/>
          <w:sz w:val="32"/>
          <w:szCs w:val="32"/>
          <w:lang w:val="en-US" w:eastAsia="zh-CN"/>
        </w:rPr>
        <w:t>28</w:t>
      </w:r>
      <w:r>
        <w:rPr>
          <w:rFonts w:hint="eastAsia" w:ascii="仿宋" w:hAnsi="仿宋" w:eastAsia="仿宋" w:cs="仿宋"/>
          <w:sz w:val="32"/>
          <w:szCs w:val="32"/>
        </w:rPr>
        <w:t>分，评价项目</w:t>
      </w:r>
      <w:r>
        <w:rPr>
          <w:rFonts w:hint="eastAsia" w:ascii="仿宋" w:hAnsi="仿宋" w:eastAsia="仿宋" w:cs="仿宋"/>
          <w:sz w:val="32"/>
          <w:szCs w:val="32"/>
          <w:lang w:val="en-US" w:eastAsia="zh-CN"/>
        </w:rPr>
        <w:t>14</w:t>
      </w:r>
      <w:r>
        <w:rPr>
          <w:rFonts w:hint="eastAsia" w:ascii="仿宋" w:hAnsi="仿宋" w:eastAsia="仿宋" w:cs="仿宋"/>
          <w:sz w:val="32"/>
          <w:szCs w:val="32"/>
        </w:rPr>
        <w:t>个，按照制定的项目支出绩效目标及实施方案，</w:t>
      </w:r>
      <w:r>
        <w:rPr>
          <w:rFonts w:hint="eastAsia" w:ascii="仿宋" w:hAnsi="仿宋" w:eastAsia="仿宋" w:cs="仿宋"/>
          <w:sz w:val="32"/>
          <w:szCs w:val="32"/>
          <w:lang w:val="en-US" w:eastAsia="zh-CN"/>
        </w:rPr>
        <w:t>14</w:t>
      </w:r>
      <w:r>
        <w:rPr>
          <w:rFonts w:hint="eastAsia" w:ascii="仿宋" w:hAnsi="仿宋" w:eastAsia="仿宋" w:cs="仿宋"/>
          <w:sz w:val="32"/>
          <w:szCs w:val="32"/>
        </w:rPr>
        <w:t>个项目已完成</w:t>
      </w:r>
      <w:r>
        <w:rPr>
          <w:rFonts w:hint="eastAsia" w:ascii="仿宋" w:hAnsi="仿宋" w:eastAsia="仿宋" w:cs="仿宋"/>
          <w:sz w:val="32"/>
          <w:szCs w:val="32"/>
          <w:lang w:eastAsia="zh-CN"/>
        </w:rPr>
        <w:t>；满意度指标自评分</w:t>
      </w:r>
      <w:r>
        <w:rPr>
          <w:rFonts w:hint="eastAsia" w:ascii="仿宋" w:hAnsi="仿宋" w:eastAsia="仿宋" w:cs="仿宋"/>
          <w:sz w:val="32"/>
          <w:szCs w:val="32"/>
          <w:lang w:val="en-US" w:eastAsia="zh-CN"/>
        </w:rPr>
        <w:t>2分，评价项目1个。</w:t>
      </w:r>
      <w:r>
        <w:rPr>
          <w:rFonts w:hint="eastAsia" w:ascii="仿宋" w:hAnsi="仿宋" w:eastAsia="仿宋" w:cs="仿宋"/>
          <w:sz w:val="32"/>
          <w:szCs w:val="32"/>
        </w:rPr>
        <w:t>开展绩效评价的项目均实现了20</w:t>
      </w:r>
      <w:r>
        <w:rPr>
          <w:rFonts w:hint="eastAsia" w:ascii="仿宋" w:hAnsi="仿宋" w:eastAsia="仿宋" w:cs="仿宋"/>
          <w:sz w:val="32"/>
          <w:szCs w:val="32"/>
          <w:lang w:val="en-US" w:eastAsia="zh-CN"/>
        </w:rPr>
        <w:t>20</w:t>
      </w:r>
      <w:r>
        <w:rPr>
          <w:rFonts w:hint="eastAsia" w:ascii="仿宋" w:hAnsi="仿宋" w:eastAsia="仿宋" w:cs="仿宋"/>
          <w:sz w:val="32"/>
          <w:szCs w:val="32"/>
        </w:rPr>
        <w:t>年度的总体目标，并按照要求圆满完成。</w:t>
      </w:r>
    </w:p>
    <w:p>
      <w:pPr>
        <w:numPr>
          <w:ilvl w:val="0"/>
          <w:numId w:val="1"/>
        </w:numPr>
        <w:spacing w:line="620" w:lineRule="exact"/>
        <w:ind w:left="0" w:leftChars="0" w:firstLine="640" w:firstLineChars="200"/>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预算及执行情况。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年预算支出总额为</w:t>
      </w:r>
      <w:r>
        <w:rPr>
          <w:rFonts w:hint="eastAsia" w:ascii="仿宋" w:hAnsi="仿宋" w:eastAsia="仿宋" w:cs="仿宋"/>
          <w:sz w:val="32"/>
          <w:szCs w:val="32"/>
          <w:lang w:val="en-US" w:eastAsia="zh-CN"/>
        </w:rPr>
        <w:t>996.41</w:t>
      </w:r>
      <w:r>
        <w:rPr>
          <w:rFonts w:hint="eastAsia" w:ascii="仿宋" w:hAnsi="仿宋" w:eastAsia="仿宋" w:cs="仿宋"/>
          <w:sz w:val="32"/>
          <w:szCs w:val="32"/>
        </w:rPr>
        <w:t>万元。其中：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按支出项目类别划分：基本支出</w:t>
      </w:r>
      <w:r>
        <w:rPr>
          <w:rFonts w:hint="eastAsia" w:ascii="仿宋" w:hAnsi="仿宋" w:eastAsia="仿宋" w:cs="仿宋"/>
          <w:sz w:val="32"/>
          <w:szCs w:val="32"/>
          <w:lang w:val="en-US" w:eastAsia="zh-CN"/>
        </w:rPr>
        <w:t>254.91</w:t>
      </w:r>
      <w:r>
        <w:rPr>
          <w:rFonts w:hint="eastAsia" w:ascii="仿宋" w:hAnsi="仿宋" w:eastAsia="仿宋" w:cs="仿宋"/>
          <w:sz w:val="32"/>
          <w:szCs w:val="32"/>
        </w:rPr>
        <w:t>万元，包括工资福利支出</w:t>
      </w:r>
      <w:r>
        <w:rPr>
          <w:rFonts w:hint="eastAsia" w:ascii="仿宋" w:hAnsi="仿宋" w:eastAsia="仿宋" w:cs="仿宋"/>
          <w:sz w:val="32"/>
          <w:szCs w:val="32"/>
          <w:lang w:val="en-US" w:eastAsia="zh-CN"/>
        </w:rPr>
        <w:t>238.74</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14.51</w:t>
      </w:r>
      <w:r>
        <w:rPr>
          <w:rFonts w:hint="eastAsia" w:ascii="仿宋" w:hAnsi="仿宋" w:eastAsia="仿宋" w:cs="仿宋"/>
          <w:sz w:val="32"/>
          <w:szCs w:val="32"/>
        </w:rPr>
        <w:t>万元</w:t>
      </w:r>
      <w:r>
        <w:rPr>
          <w:rFonts w:hint="eastAsia" w:ascii="仿宋" w:hAnsi="仿宋" w:eastAsia="仿宋" w:cs="仿宋"/>
          <w:sz w:val="32"/>
          <w:szCs w:val="32"/>
          <w:lang w:eastAsia="zh-CN"/>
        </w:rPr>
        <w:t>、对个人和家庭的补助</w:t>
      </w:r>
      <w:r>
        <w:rPr>
          <w:rFonts w:hint="eastAsia" w:ascii="仿宋" w:hAnsi="仿宋" w:eastAsia="仿宋" w:cs="仿宋"/>
          <w:sz w:val="32"/>
          <w:szCs w:val="32"/>
          <w:lang w:val="en-US" w:eastAsia="zh-CN"/>
        </w:rPr>
        <w:t>1.66万元；</w:t>
      </w:r>
      <w:r>
        <w:rPr>
          <w:rFonts w:hint="eastAsia" w:ascii="仿宋" w:hAnsi="仿宋" w:eastAsia="仿宋" w:cs="仿宋"/>
          <w:sz w:val="32"/>
          <w:szCs w:val="32"/>
        </w:rPr>
        <w:t>项目支出</w:t>
      </w:r>
      <w:r>
        <w:rPr>
          <w:rFonts w:hint="eastAsia" w:ascii="仿宋" w:hAnsi="仿宋" w:eastAsia="仿宋" w:cs="仿宋"/>
          <w:sz w:val="32"/>
          <w:szCs w:val="32"/>
          <w:lang w:val="en-US" w:eastAsia="zh-CN"/>
        </w:rPr>
        <w:t>741.5</w:t>
      </w:r>
      <w:r>
        <w:rPr>
          <w:rFonts w:hint="eastAsia" w:ascii="仿宋" w:hAnsi="仿宋" w:eastAsia="仿宋" w:cs="仿宋"/>
          <w:sz w:val="32"/>
          <w:szCs w:val="32"/>
        </w:rPr>
        <w:t>万元，包括工资福利支出</w:t>
      </w:r>
      <w:r>
        <w:rPr>
          <w:rFonts w:hint="eastAsia" w:ascii="仿宋" w:hAnsi="仿宋" w:eastAsia="仿宋" w:cs="仿宋"/>
          <w:sz w:val="32"/>
          <w:szCs w:val="32"/>
          <w:lang w:val="en-US" w:eastAsia="zh-CN"/>
        </w:rPr>
        <w:t>132.6</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83.7</w:t>
      </w:r>
      <w:r>
        <w:rPr>
          <w:rFonts w:hint="eastAsia" w:ascii="仿宋" w:hAnsi="仿宋" w:eastAsia="仿宋" w:cs="仿宋"/>
          <w:sz w:val="32"/>
          <w:szCs w:val="32"/>
        </w:rPr>
        <w:t>万元、资本性支出</w:t>
      </w:r>
      <w:r>
        <w:rPr>
          <w:rFonts w:hint="eastAsia" w:ascii="仿宋" w:hAnsi="仿宋" w:eastAsia="仿宋" w:cs="仿宋"/>
          <w:sz w:val="32"/>
          <w:szCs w:val="32"/>
          <w:lang w:val="en-US" w:eastAsia="zh-CN"/>
        </w:rPr>
        <w:t>187.87</w:t>
      </w:r>
      <w:r>
        <w:rPr>
          <w:rFonts w:hint="eastAsia" w:ascii="仿宋" w:hAnsi="仿宋" w:eastAsia="仿宋" w:cs="仿宋"/>
          <w:sz w:val="32"/>
          <w:szCs w:val="32"/>
        </w:rPr>
        <w:t>万元</w:t>
      </w:r>
      <w:r>
        <w:rPr>
          <w:rFonts w:hint="eastAsia" w:ascii="仿宋" w:hAnsi="仿宋" w:eastAsia="仿宋" w:cs="仿宋"/>
          <w:sz w:val="32"/>
          <w:szCs w:val="32"/>
          <w:lang w:eastAsia="zh-CN"/>
        </w:rPr>
        <w:t>、对企业的补助</w:t>
      </w:r>
      <w:r>
        <w:rPr>
          <w:rFonts w:hint="eastAsia" w:ascii="仿宋" w:hAnsi="仿宋" w:eastAsia="仿宋" w:cs="仿宋"/>
          <w:sz w:val="32"/>
          <w:szCs w:val="32"/>
          <w:lang w:val="en-US" w:eastAsia="zh-CN"/>
        </w:rPr>
        <w:t>337.33万元</w:t>
      </w:r>
      <w:r>
        <w:rPr>
          <w:rFonts w:hint="eastAsia" w:ascii="仿宋" w:hAnsi="仿宋" w:eastAsia="仿宋" w:cs="仿宋"/>
          <w:sz w:val="32"/>
          <w:szCs w:val="32"/>
        </w:rPr>
        <w:t>。</w:t>
      </w:r>
    </w:p>
    <w:p>
      <w:pPr>
        <w:ind w:firstLine="640" w:firstLineChars="200"/>
        <w:rPr>
          <w:rFonts w:hint="eastAsia" w:ascii="仿宋_GB2312" w:hAnsi="仿宋_GB2312" w:eastAsia="仿宋_GB2312"/>
          <w:sz w:val="32"/>
          <w:szCs w:val="30"/>
        </w:rPr>
      </w:pPr>
      <w:r>
        <w:rPr>
          <w:rFonts w:hint="eastAsia" w:ascii="仿宋" w:hAnsi="仿宋" w:eastAsia="仿宋" w:cs="仿宋"/>
          <w:sz w:val="32"/>
          <w:szCs w:val="32"/>
        </w:rPr>
        <w:t>按支出功能科目划分：社会保障和就业支出</w:t>
      </w:r>
      <w:r>
        <w:rPr>
          <w:rFonts w:hint="eastAsia" w:ascii="仿宋" w:hAnsi="仿宋" w:eastAsia="仿宋" w:cs="仿宋"/>
          <w:sz w:val="32"/>
          <w:szCs w:val="32"/>
          <w:lang w:val="en-US" w:eastAsia="zh-CN"/>
        </w:rPr>
        <w:t>15.48</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9.38</w:t>
      </w:r>
      <w:r>
        <w:rPr>
          <w:rFonts w:hint="eastAsia" w:ascii="仿宋" w:hAnsi="仿宋" w:eastAsia="仿宋" w:cs="仿宋"/>
          <w:sz w:val="32"/>
          <w:szCs w:val="32"/>
        </w:rPr>
        <w:t>万元，</w:t>
      </w:r>
      <w:r>
        <w:rPr>
          <w:rFonts w:hint="eastAsia" w:ascii="仿宋" w:hAnsi="仿宋" w:eastAsia="仿宋" w:cs="仿宋"/>
          <w:sz w:val="32"/>
          <w:szCs w:val="32"/>
          <w:lang w:eastAsia="zh-CN"/>
        </w:rPr>
        <w:t>节能环保支出</w:t>
      </w:r>
      <w:r>
        <w:rPr>
          <w:rFonts w:hint="eastAsia" w:ascii="仿宋" w:hAnsi="仿宋" w:eastAsia="仿宋" w:cs="仿宋"/>
          <w:sz w:val="32"/>
          <w:szCs w:val="32"/>
          <w:lang w:val="en-US" w:eastAsia="zh-CN"/>
        </w:rPr>
        <w:t>37.33万元，城乡社区支出57万元，交通运输支出865.67万元，</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11.55</w:t>
      </w:r>
      <w:r>
        <w:rPr>
          <w:rFonts w:hint="eastAsia" w:ascii="仿宋" w:hAnsi="仿宋" w:eastAsia="仿宋" w:cs="仿宋"/>
          <w:sz w:val="32"/>
          <w:szCs w:val="32"/>
        </w:rPr>
        <w:t>万元。</w:t>
      </w:r>
    </w:p>
    <w:p>
      <w:pPr>
        <w:spacing w:line="620" w:lineRule="exact"/>
        <w:ind w:firstLine="640" w:firstLineChars="200"/>
        <w:rPr>
          <w:rFonts w:ascii="黑体" w:hAnsi="黑体" w:eastAsia="黑体"/>
          <w:sz w:val="32"/>
        </w:rPr>
      </w:pPr>
      <w:r>
        <w:rPr>
          <w:rFonts w:hint="eastAsia" w:ascii="黑体" w:hAnsi="黑体" w:eastAsia="黑体"/>
          <w:sz w:val="32"/>
        </w:rPr>
        <w:t>二、部门整体支出绩效实现情况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（一）履职完成情况：</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今年我市涉及交通基础设施的新建、续建项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全年完成公路建设总投资3.2亿元，窄路面扩宽项目完成5公里，生命安全防护工程完成20公里，完成危桥改造3座，完成资源路产业路10.2公里</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苏青公路路灯安装加班加点提前完工；2.省重点项目G532三期已完成整个项目75%；3.黄金线公路已竣工并交付使用；4.南新公路项目有力推进，江益集镇段改造完成；5.关斜线、泽泉集镇段改造已完工并交付使用；6.治超治限检测站已竣工，春节前后可入驻并投入使用；7.江益镇红星圩堤路面拓宽工程抢抓晴好天气可于年底前完成全部土方工程；8.综合场至金湖项目实干加巧干，项目自4月底开工以来已完成土方工程并铺设混凝土里面，预计可提前交付使用；9.金鸡桥危桥改造已于5月底主体完工，危桥改造完成率达100%；11.苏家垱乡境内道路改造提升，工程快速推进，土牛-共青县道升级改造工程、炳章公路已完工正在进行后续扫尾工作，9.8公里的道路安防工程已全面完成。</w:t>
      </w:r>
    </w:p>
    <w:p>
      <w:pPr>
        <w:spacing w:line="620" w:lineRule="exact"/>
        <w:ind w:firstLine="640" w:firstLineChars="200"/>
        <w:rPr>
          <w:rFonts w:ascii="仿宋_GB2312" w:hAnsi="仿宋_GB2312" w:eastAsia="仿宋_GB2312"/>
          <w:sz w:val="32"/>
        </w:rPr>
      </w:pPr>
      <w:r>
        <w:rPr>
          <w:rFonts w:hint="eastAsia" w:ascii="仿宋_GB2312" w:hAnsi="仿宋_GB2312" w:eastAsia="仿宋_GB2312"/>
          <w:sz w:val="32"/>
        </w:rPr>
        <w:t>（二）履职效果情况：</w:t>
      </w:r>
      <w:r>
        <w:rPr>
          <w:rFonts w:hint="eastAsia" w:ascii="仿宋_GB2312" w:hAnsi="仿宋_GB2312" w:eastAsia="仿宋_GB2312"/>
          <w:sz w:val="32"/>
          <w:lang w:eastAsia="zh-CN"/>
        </w:rPr>
        <w:t>最大程度的保障了人民群众的出行安全以及出行便利，群众满意度高</w:t>
      </w:r>
      <w:r>
        <w:rPr>
          <w:rFonts w:hint="eastAsia" w:ascii="仿宋_GB2312" w:hAnsi="仿宋_GB2312" w:eastAsia="仿宋_GB2312"/>
          <w:sz w:val="32"/>
        </w:rPr>
        <w:t>。</w:t>
      </w:r>
    </w:p>
    <w:p>
      <w:pPr>
        <w:spacing w:line="620" w:lineRule="exact"/>
        <w:ind w:firstLine="640" w:firstLineChars="200"/>
        <w:rPr>
          <w:rFonts w:ascii="黑体" w:hAnsi="黑体" w:eastAsia="黑体"/>
          <w:sz w:val="32"/>
        </w:rPr>
      </w:pPr>
      <w:r>
        <w:rPr>
          <w:rFonts w:hint="eastAsia" w:ascii="黑体" w:hAnsi="黑体" w:eastAsia="黑体"/>
          <w:sz w:val="32"/>
        </w:rPr>
        <w:t>三、部门整体支出绩效中存在问题及改进措施</w:t>
      </w:r>
    </w:p>
    <w:p>
      <w:pPr>
        <w:spacing w:line="520" w:lineRule="exact"/>
        <w:ind w:firstLine="640" w:firstLineChars="200"/>
        <w:jc w:val="left"/>
        <w:rPr>
          <w:rFonts w:hint="eastAsia" w:ascii="仿宋" w:hAnsi="仿宋" w:eastAsia="仿宋" w:cs="仿宋"/>
          <w:sz w:val="32"/>
          <w:szCs w:val="32"/>
          <w:lang w:eastAsia="zh-CN"/>
        </w:rPr>
      </w:pPr>
      <w:r>
        <w:rPr>
          <w:rFonts w:hint="eastAsia" w:ascii="仿宋_GB2312" w:hAnsi="仿宋_GB2312" w:eastAsia="仿宋_GB2312"/>
          <w:sz w:val="32"/>
        </w:rPr>
        <w:t>（一）主要问题及原因分析</w:t>
      </w:r>
      <w:r>
        <w:rPr>
          <w:rFonts w:hint="eastAsia" w:ascii="仿宋" w:hAnsi="仿宋" w:eastAsia="仿宋" w:cs="仿宋"/>
          <w:sz w:val="32"/>
          <w:szCs w:val="32"/>
        </w:rPr>
        <w:t>：没有开展预算绩效管理工作的宣传培训及信息公开；绩效评价结果应用不够。</w:t>
      </w:r>
      <w:r>
        <w:rPr>
          <w:rFonts w:hint="eastAsia" w:ascii="仿宋" w:hAnsi="仿宋" w:eastAsia="仿宋" w:cs="仿宋"/>
          <w:sz w:val="32"/>
          <w:szCs w:val="32"/>
          <w:lang w:eastAsia="zh-CN"/>
        </w:rPr>
        <w:t>原因分析：没有做到</w:t>
      </w:r>
      <w:r>
        <w:rPr>
          <w:rFonts w:hint="eastAsia" w:ascii="仿宋" w:hAnsi="仿宋" w:eastAsia="仿宋" w:cs="仿宋"/>
          <w:sz w:val="32"/>
          <w:szCs w:val="32"/>
        </w:rPr>
        <w:t>计划先行，科学地做好年度预算绩效</w:t>
      </w:r>
      <w:r>
        <w:rPr>
          <w:rFonts w:hint="eastAsia" w:ascii="仿宋" w:hAnsi="仿宋" w:eastAsia="仿宋" w:cs="仿宋"/>
          <w:sz w:val="32"/>
          <w:szCs w:val="32"/>
          <w:lang w:eastAsia="zh-CN"/>
        </w:rPr>
        <w:t>。</w:t>
      </w:r>
    </w:p>
    <w:p>
      <w:pPr>
        <w:spacing w:line="520" w:lineRule="exact"/>
        <w:ind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rPr>
        <w:t>（二）改进的方向和具体措施</w:t>
      </w:r>
      <w:r>
        <w:rPr>
          <w:rFonts w:hint="eastAsia" w:ascii="仿宋_GB2312" w:hAnsi="仿宋_GB2312" w:eastAsia="仿宋_GB2312"/>
          <w:sz w:val="32"/>
          <w:lang w:eastAsia="zh-CN"/>
        </w:rPr>
        <w:t>：</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1、强化绩效理念，深入推进评价工作</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进一步加强各科室绩效管理理念，将“要我评价”的被动认识转化为“我要评价”的主动实践，健全完善评价机制，切实加强组织领导，深入推进评价工作，提升整体绩效管理水平。</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2、强化事前准备，提升评价质量</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在推进自身评价工作开展时，结合评价工作实际，项目实施过程中规范化、严格化，确保绩效评价结果公正、客观、精准、真实反映绩效，如实反映问题，切实提高评价质量。</w:t>
      </w: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3、总结经验，完善绩效评价</w:t>
      </w:r>
    </w:p>
    <w:p>
      <w:pPr>
        <w:spacing w:line="520" w:lineRule="exact"/>
        <w:ind w:firstLine="640" w:firstLineChars="200"/>
        <w:jc w:val="left"/>
        <w:rPr>
          <w:rFonts w:hint="eastAsia" w:ascii="仿宋_GB2312" w:hAnsi="仿宋_GB2312" w:eastAsia="仿宋_GB2312"/>
          <w:sz w:val="32"/>
          <w:lang w:eastAsia="zh-CN"/>
        </w:rPr>
      </w:pPr>
      <w:r>
        <w:rPr>
          <w:rFonts w:hint="eastAsia" w:ascii="仿宋" w:hAnsi="仿宋" w:eastAsia="仿宋" w:cs="仿宋"/>
          <w:sz w:val="32"/>
          <w:szCs w:val="32"/>
        </w:rPr>
        <w:t>总结20</w:t>
      </w:r>
      <w:r>
        <w:rPr>
          <w:rFonts w:hint="eastAsia" w:ascii="仿宋" w:hAnsi="仿宋" w:eastAsia="仿宋" w:cs="仿宋"/>
          <w:sz w:val="32"/>
          <w:szCs w:val="32"/>
          <w:lang w:val="en-US" w:eastAsia="zh-CN"/>
        </w:rPr>
        <w:t>20</w:t>
      </w:r>
      <w:r>
        <w:rPr>
          <w:rFonts w:hint="eastAsia" w:ascii="仿宋" w:hAnsi="仿宋" w:eastAsia="仿宋" w:cs="仿宋"/>
          <w:sz w:val="32"/>
          <w:szCs w:val="32"/>
        </w:rPr>
        <w:t>年的工作经验，进一步推进预算绩效管理工作，提高财政资金使用效益，以确保项目资金按项目进度支付。</w:t>
      </w:r>
    </w:p>
    <w:p>
      <w:pPr>
        <w:numPr>
          <w:ilvl w:val="0"/>
          <w:numId w:val="2"/>
        </w:numPr>
        <w:spacing w:line="620" w:lineRule="exact"/>
        <w:ind w:firstLine="640" w:firstLineChars="200"/>
        <w:rPr>
          <w:rFonts w:hint="eastAsia" w:ascii="黑体" w:hAnsi="黑体" w:eastAsia="黑体"/>
          <w:sz w:val="32"/>
        </w:rPr>
      </w:pPr>
      <w:r>
        <w:rPr>
          <w:rFonts w:hint="eastAsia" w:ascii="黑体" w:hAnsi="黑体" w:eastAsia="黑体"/>
          <w:sz w:val="32"/>
        </w:rPr>
        <w:t>绩效自评结果拟应用和公开情况</w:t>
      </w:r>
    </w:p>
    <w:p>
      <w:pPr>
        <w:numPr>
          <w:ilvl w:val="0"/>
          <w:numId w:val="0"/>
        </w:numPr>
        <w:spacing w:line="620" w:lineRule="exact"/>
        <w:ind w:firstLine="640"/>
        <w:rPr>
          <w:rFonts w:hint="eastAsia" w:ascii="仿宋" w:hAnsi="仿宋" w:eastAsia="仿宋" w:cs="仿宋"/>
          <w:sz w:val="32"/>
          <w:lang w:val="en-US" w:eastAsia="zh-CN"/>
        </w:rPr>
      </w:pPr>
      <w:r>
        <w:rPr>
          <w:rFonts w:hint="eastAsia" w:ascii="仿宋" w:hAnsi="仿宋" w:eastAsia="仿宋" w:cs="仿宋"/>
          <w:sz w:val="32"/>
          <w:lang w:val="en-US" w:eastAsia="zh-CN"/>
        </w:rPr>
        <w:t>拟将绩效自评结果在我单位政务网公开。</w:t>
      </w:r>
    </w:p>
    <w:p>
      <w:pPr>
        <w:pStyle w:val="2"/>
        <w:ind w:firstLine="640"/>
        <w:rPr>
          <w:rFonts w:hint="eastAsia"/>
          <w:lang w:val="en-US" w:eastAsia="zh-CN"/>
        </w:rPr>
      </w:pPr>
    </w:p>
    <w:p>
      <w:pPr>
        <w:pStyle w:val="2"/>
        <w:ind w:firstLine="640"/>
        <w:rPr>
          <w:rFonts w:hint="eastAsia"/>
          <w:lang w:val="en-US" w:eastAsia="zh-CN"/>
        </w:rPr>
      </w:pPr>
    </w:p>
    <w:p>
      <w:pPr>
        <w:pStyle w:val="2"/>
        <w:ind w:firstLine="64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共青城市交通运输局</w:t>
      </w:r>
    </w:p>
    <w:p>
      <w:pPr>
        <w:pStyle w:val="2"/>
        <w:ind w:firstLine="64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2021年4月19日</w:t>
      </w:r>
    </w:p>
    <w:p>
      <w:pPr>
        <w:pStyle w:val="2"/>
        <w:ind w:firstLine="640"/>
        <w:jc w:val="right"/>
        <w:rPr>
          <w:rFonts w:hint="eastAsia" w:ascii="仿宋" w:hAnsi="仿宋" w:eastAsia="仿宋" w:cs="仿宋"/>
          <w:sz w:val="32"/>
          <w:szCs w:val="32"/>
          <w:lang w:val="en-US" w:eastAsia="zh-CN"/>
        </w:rPr>
      </w:pPr>
    </w:p>
    <w:p>
      <w:pPr>
        <w:spacing w:line="600" w:lineRule="exact"/>
        <w:ind w:firstLine="420" w:firstLineChars="200"/>
        <w:rPr>
          <w:rFonts w:ascii="仿宋" w:hAnsi="仿宋" w:eastAsia="仿宋"/>
        </w:rPr>
      </w:pPr>
    </w:p>
    <w:p>
      <w:pPr>
        <w:spacing w:line="600" w:lineRule="exact"/>
        <w:rPr>
          <w:rFonts w:ascii="仿宋_GB2312" w:eastAsia="仿宋_GB2312"/>
          <w:sz w:val="32"/>
          <w:szCs w:val="32"/>
        </w:rPr>
      </w:pPr>
    </w:p>
    <w:p>
      <w:pPr>
        <w:spacing w:line="600" w:lineRule="exact"/>
        <w:ind w:firstLine="3040" w:firstLineChars="950"/>
        <w:rPr>
          <w:rFonts w:ascii="仿宋_GB2312" w:eastAsia="仿宋_GB2312"/>
          <w:sz w:val="32"/>
          <w:szCs w:val="32"/>
        </w:rPr>
      </w:pPr>
      <w:r>
        <w:rPr>
          <w:rFonts w:hint="eastAsia" w:ascii="仿宋_GB2312" w:eastAsia="仿宋_GB2312"/>
          <w:sz w:val="32"/>
          <w:szCs w:val="32"/>
        </w:rPr>
        <w:t xml:space="preserve">   </w:t>
      </w:r>
    </w:p>
    <w:p>
      <w:pPr>
        <w:spacing w:line="600" w:lineRule="exact"/>
        <w:rPr>
          <w:rFonts w:ascii="仿宋_GB2312" w:eastAsia="仿宋_GB2312"/>
          <w:sz w:val="32"/>
          <w:szCs w:val="32"/>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pPr>
        <w:spacing w:line="600" w:lineRule="exact"/>
        <w:rPr>
          <w:rFonts w:ascii="黑体"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02DDF"/>
    <w:multiLevelType w:val="singleLevel"/>
    <w:tmpl w:val="BB002DDF"/>
    <w:lvl w:ilvl="0" w:tentative="0">
      <w:start w:val="4"/>
      <w:numFmt w:val="chineseCounting"/>
      <w:suff w:val="nothing"/>
      <w:lvlText w:val="%1、"/>
      <w:lvlJc w:val="left"/>
      <w:rPr>
        <w:rFonts w:hint="eastAsia"/>
      </w:rPr>
    </w:lvl>
  </w:abstractNum>
  <w:abstractNum w:abstractNumId="1">
    <w:nsid w:val="7F863912"/>
    <w:multiLevelType w:val="singleLevel"/>
    <w:tmpl w:val="7F86391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914D3"/>
    <w:rsid w:val="09754E13"/>
    <w:rsid w:val="18D4785A"/>
    <w:rsid w:val="258E2552"/>
    <w:rsid w:val="2E482401"/>
    <w:rsid w:val="36783B6C"/>
    <w:rsid w:val="36CA6CF3"/>
    <w:rsid w:val="488914D3"/>
    <w:rsid w:val="4F3C3DEA"/>
    <w:rsid w:val="4F6924A1"/>
    <w:rsid w:val="5F257D97"/>
    <w:rsid w:val="67B5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3053</Words>
  <Characters>3192</Characters>
  <Lines>0</Lines>
  <Paragraphs>0</Paragraphs>
  <TotalTime>3</TotalTime>
  <ScaleCrop>false</ScaleCrop>
  <LinksUpToDate>false</LinksUpToDate>
  <CharactersWithSpaces>3441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2021-04-14T07:48:00Z</dcterms:created>
  <dc:creator>熊妹</dc:creator>
  <cp:lastModifiedBy>熊妹</cp:lastModifiedBy>
  <cp:lastPrinted>2021-04-20T06:52:00Z</cp:lastPrinted>
  <dcterms:modified xsi:type="dcterms:W3CDTF">2022-07-19T07:13:31Z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940B129CBA83436E825D8AA67E9FEDEF</vt:lpwstr>
  </property>
</Properties>
</file>