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13E7">
      <w:pPr>
        <w:keepNext w:val="0"/>
        <w:keepLines w:val="0"/>
        <w:pageBreakBefore w:val="0"/>
        <w:widowControl w:val="0"/>
        <w:kinsoku/>
        <w:wordWrap/>
        <w:overflowPunct/>
        <w:topLinePunct w:val="0"/>
        <w:autoSpaceDE/>
        <w:autoSpaceDN/>
        <w:bidi w:val="0"/>
        <w:adjustRightInd/>
        <w:snapToGrid/>
        <w:spacing w:before="121" w:line="600" w:lineRule="exact"/>
        <w:jc w:val="center"/>
        <w:textAlignment w:val="auto"/>
        <w:rPr>
          <w:rFonts w:hint="eastAsia" w:ascii="方正大标宋简体" w:hAnsi="方正大标宋简体" w:eastAsia="方正大标宋简体" w:cs="方正大标宋简体"/>
          <w:spacing w:val="0"/>
          <w:sz w:val="44"/>
          <w:szCs w:val="44"/>
        </w:rPr>
      </w:pPr>
      <w:r>
        <w:rPr>
          <w:rFonts w:hint="eastAsia" w:ascii="方正大标宋简体" w:hAnsi="方正大标宋简体" w:eastAsia="方正大标宋简体" w:cs="方正大标宋简体"/>
          <w:spacing w:val="0"/>
          <w:sz w:val="44"/>
          <w:szCs w:val="44"/>
          <w:lang w:eastAsia="zh-CN"/>
        </w:rPr>
        <w:t>共青城市</w:t>
      </w:r>
      <w:r>
        <w:rPr>
          <w:rFonts w:hint="eastAsia" w:ascii="方正大标宋简体" w:hAnsi="方正大标宋简体" w:eastAsia="方正大标宋简体" w:cs="方正大标宋简体"/>
          <w:spacing w:val="0"/>
          <w:sz w:val="44"/>
          <w:szCs w:val="44"/>
        </w:rPr>
        <w:t>无人驾驶装备示范运营管理办法</w:t>
      </w:r>
    </w:p>
    <w:p w14:paraId="65505A24">
      <w:pPr>
        <w:keepNext w:val="0"/>
        <w:keepLines w:val="0"/>
        <w:pageBreakBefore w:val="0"/>
        <w:widowControl w:val="0"/>
        <w:kinsoku/>
        <w:wordWrap/>
        <w:overflowPunct/>
        <w:topLinePunct w:val="0"/>
        <w:autoSpaceDE/>
        <w:autoSpaceDN/>
        <w:bidi w:val="0"/>
        <w:adjustRightInd/>
        <w:snapToGrid/>
        <w:spacing w:before="121" w:line="600" w:lineRule="exact"/>
        <w:jc w:val="center"/>
        <w:textAlignment w:val="auto"/>
        <w:rPr>
          <w:rFonts w:hint="eastAsia" w:eastAsia="方正大标宋简体"/>
          <w:spacing w:val="0"/>
          <w:lang w:val="en-US" w:eastAsia="zh-CN"/>
        </w:rPr>
      </w:pPr>
      <w:r>
        <w:rPr>
          <w:rFonts w:hint="eastAsia" w:ascii="方正大标宋简体" w:hAnsi="方正大标宋简体" w:eastAsia="方正大标宋简体" w:cs="方正大标宋简体"/>
          <w:spacing w:val="0"/>
          <w:sz w:val="44"/>
          <w:szCs w:val="44"/>
        </w:rPr>
        <w:t>（试行）</w:t>
      </w:r>
      <w:bookmarkStart w:id="1" w:name="_GoBack"/>
      <w:bookmarkEnd w:id="1"/>
      <w:r>
        <w:rPr>
          <w:rFonts w:hint="eastAsia" w:ascii="方正大标宋简体" w:hAnsi="方正大标宋简体" w:eastAsia="方正大标宋简体" w:cs="方正大标宋简体"/>
          <w:spacing w:val="0"/>
          <w:sz w:val="44"/>
          <w:szCs w:val="44"/>
          <w:lang w:eastAsia="zh-CN"/>
        </w:rPr>
        <w:t>征求意见稿</w:t>
      </w:r>
    </w:p>
    <w:p w14:paraId="550172B2">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spacing w:val="0"/>
        </w:rPr>
      </w:pPr>
    </w:p>
    <w:p w14:paraId="6D2B68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第一章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总则</w:t>
      </w:r>
    </w:p>
    <w:p w14:paraId="05890A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pacing w:val="0"/>
          <w:sz w:val="32"/>
          <w:szCs w:val="32"/>
        </w:rPr>
      </w:pPr>
    </w:p>
    <w:p w14:paraId="7C3B58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pacing w:val="0"/>
          <w:sz w:val="32"/>
          <w:szCs w:val="32"/>
          <w:lang w:val="en-US" w:eastAsia="zh-CN"/>
        </w:rPr>
      </w:pPr>
      <w:r>
        <w:rPr>
          <w:rFonts w:hint="eastAsia" w:ascii="楷体_GB2312" w:hAnsi="楷体_GB2312" w:eastAsia="楷体_GB2312" w:cs="楷体_GB2312"/>
          <w:b/>
          <w:bCs/>
          <w:spacing w:val="0"/>
          <w:sz w:val="32"/>
          <w:szCs w:val="32"/>
        </w:rPr>
        <w:t>第一条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为推动</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无人驾驶装备技术的发展和应用，提高智能车联网产业创新水平，规范无人驾驶装备示范运营，依照</w:t>
      </w:r>
      <w:bookmarkStart w:id="0" w:name="OLE_LINK1"/>
      <w:r>
        <w:rPr>
          <w:rFonts w:hint="eastAsia" w:ascii="仿宋_GB2312" w:hAnsi="仿宋_GB2312" w:eastAsia="仿宋_GB2312" w:cs="仿宋_GB2312"/>
          <w:spacing w:val="0"/>
          <w:sz w:val="32"/>
          <w:szCs w:val="32"/>
          <w:lang w:val="en-US" w:eastAsia="zh-CN"/>
        </w:rPr>
        <w:t>工业和信息化部</w:t>
      </w:r>
      <w:r>
        <w:rPr>
          <w:rFonts w:hint="eastAsia" w:ascii="仿宋_GB2312" w:hAnsi="仿宋_GB2312" w:eastAsia="仿宋_GB2312" w:cs="仿宋_GB2312"/>
          <w:spacing w:val="0"/>
          <w:sz w:val="32"/>
          <w:szCs w:val="32"/>
        </w:rPr>
        <w:t>、公安部、交通运输部《关于印发&lt;智能网联汽车道路测试与示范应用管理规范（试行）&gt;的通知》</w:t>
      </w:r>
      <w:bookmarkEnd w:id="0"/>
      <w:r>
        <w:rPr>
          <w:rFonts w:hint="eastAsia" w:ascii="仿宋_GB2312" w:hAnsi="仿宋_GB2312" w:eastAsia="仿宋_GB2312" w:cs="仿宋_GB2312"/>
          <w:spacing w:val="0"/>
          <w:sz w:val="32"/>
          <w:szCs w:val="32"/>
        </w:rPr>
        <w:t>及《中华人民共和国道路交通安全法》的相关规定，特制定本办法。</w:t>
      </w:r>
    </w:p>
    <w:p w14:paraId="301129F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第二条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本办法适用于在</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内限定范围、线路、时间、速度开展无人驾驶装备示范运营等活动，待条件成熟后，经综合评估，报</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委</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政府同意后，在全</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行政区域范围内规定的线路、时间、速度开展测试和试运营。</w:t>
      </w:r>
    </w:p>
    <w:p w14:paraId="234100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办法所称无人驾驶装备(以下简称“装备”)，是指搭载先进的传感器、控制器、执行器等装置，并融合现代通信与网络技术，具备复杂环境感知、智能决策、协同控制等功能，可无需人类主动操作情况下，实现自动、安全行驶，进行商超配送、外卖配送、快递配送、移动零售、无人安防、清洁环卫等工作的新型运载工具。</w:t>
      </w:r>
    </w:p>
    <w:p w14:paraId="091B8D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本办法所指示范运营，是指在</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指定路段进行的商业收费配送活动。</w:t>
      </w:r>
    </w:p>
    <w:p w14:paraId="109E981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spacing w:val="0"/>
          <w:sz w:val="32"/>
          <w:szCs w:val="32"/>
        </w:rPr>
      </w:pPr>
      <w:r>
        <w:rPr>
          <w:rFonts w:hint="eastAsia" w:ascii="楷体_GB2312" w:hAnsi="楷体_GB2312" w:eastAsia="楷体_GB2312" w:cs="楷体_GB2312"/>
          <w:b/>
          <w:bCs/>
          <w:spacing w:val="0"/>
          <w:sz w:val="32"/>
          <w:szCs w:val="32"/>
        </w:rPr>
        <w:t>第三条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本办法所指的无人驾驶装备是指符合相关技术标准或者规范，通过智能网联系统在限定范围、线路、时间内完成自动驾驶，执行预定任务、最高行驶速度不超过20公里/小时的低速轮式装备。</w:t>
      </w:r>
    </w:p>
    <w:p w14:paraId="37DE3F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rPr>
      </w:pPr>
    </w:p>
    <w:p w14:paraId="6E46BF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第二章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管理机构职责</w:t>
      </w:r>
    </w:p>
    <w:p w14:paraId="6CA398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rPr>
      </w:pPr>
    </w:p>
    <w:p w14:paraId="3C63A3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第四条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由</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交通运输局、</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工业和信息化局、</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公安局</w:t>
      </w:r>
      <w:r>
        <w:rPr>
          <w:rFonts w:hint="eastAsia" w:ascii="仿宋_GB2312" w:hAnsi="仿宋_GB2312" w:eastAsia="仿宋_GB2312" w:cs="仿宋_GB2312"/>
          <w:spacing w:val="0"/>
          <w:sz w:val="32"/>
          <w:szCs w:val="32"/>
          <w:lang w:eastAsia="zh-CN"/>
        </w:rPr>
        <w:t>交通管理</w:t>
      </w:r>
      <w:r>
        <w:rPr>
          <w:rFonts w:hint="eastAsia" w:ascii="仿宋_GB2312" w:hAnsi="仿宋_GB2312" w:eastAsia="仿宋_GB2312" w:cs="仿宋_GB2312"/>
          <w:spacing w:val="0"/>
          <w:sz w:val="32"/>
          <w:szCs w:val="32"/>
        </w:rPr>
        <w:t>大队</w:t>
      </w:r>
      <w:r>
        <w:rPr>
          <w:rFonts w:hint="eastAsia" w:ascii="仿宋_GB2312" w:hAnsi="仿宋_GB2312" w:eastAsia="仿宋_GB2312" w:cs="仿宋_GB2312"/>
          <w:spacing w:val="0"/>
          <w:sz w:val="32"/>
          <w:szCs w:val="32"/>
          <w:lang w:eastAsia="zh-CN"/>
        </w:rPr>
        <w:t>、市住房和城乡建设局、</w:t>
      </w:r>
      <w:r>
        <w:rPr>
          <w:rFonts w:hint="eastAsia" w:ascii="仿宋_GB2312" w:hAnsi="仿宋_GB2312" w:eastAsia="仿宋_GB2312" w:cs="仿宋_GB2312"/>
          <w:spacing w:val="0"/>
          <w:sz w:val="32"/>
          <w:szCs w:val="32"/>
          <w:lang w:val="en-US" w:eastAsia="zh-CN"/>
        </w:rPr>
        <w:t>市</w:t>
      </w:r>
      <w:r>
        <w:rPr>
          <w:rFonts w:hint="default" w:ascii="仿宋_GB2312" w:hAnsi="仿宋_GB2312" w:eastAsia="仿宋_GB2312" w:cs="仿宋_GB2312"/>
          <w:spacing w:val="0"/>
          <w:sz w:val="32"/>
          <w:szCs w:val="32"/>
          <w:lang w:val="en-US" w:eastAsia="zh-CN"/>
        </w:rPr>
        <w:t>城市管理局</w:t>
      </w:r>
      <w:r>
        <w:rPr>
          <w:rFonts w:hint="eastAsia" w:ascii="仿宋_GB2312" w:hAnsi="仿宋_GB2312" w:eastAsia="仿宋_GB2312" w:cs="仿宋_GB2312"/>
          <w:spacing w:val="0"/>
          <w:sz w:val="32"/>
          <w:szCs w:val="32"/>
          <w:lang w:val="en-US" w:eastAsia="zh-CN"/>
        </w:rPr>
        <w:t>、九江共青城高新区规划建设局、南湖新城管委会、各乡镇（街道）</w:t>
      </w:r>
      <w:r>
        <w:rPr>
          <w:rFonts w:hint="eastAsia" w:ascii="仿宋_GB2312" w:hAnsi="仿宋_GB2312" w:eastAsia="仿宋_GB2312" w:cs="仿宋_GB2312"/>
          <w:spacing w:val="0"/>
          <w:sz w:val="32"/>
          <w:szCs w:val="32"/>
        </w:rPr>
        <w:t>共同成立</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智能网联汽车道路测试与示范应用管理联席工作小组（以下简称“联席工作小组”）。联席工作小组负责本管理办法的推进实施、监督和管理，协调本管理办法实施过程中的有关事项。联席工作小组组长由分管该项目的</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领导担任，下设办公室，办公室设在</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交通运输局。</w:t>
      </w:r>
    </w:p>
    <w:p w14:paraId="5E0CEED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bCs/>
          <w:spacing w:val="0"/>
          <w:sz w:val="32"/>
          <w:szCs w:val="32"/>
        </w:rPr>
        <w:t>第五条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交通运输局负责定期组织召开联席工作小组会议，协调处理联席工作小组日常事务；负责智能网联车辆在交通运输领域示范运营行业管理相关工作</w:t>
      </w:r>
      <w:r>
        <w:rPr>
          <w:rFonts w:hint="eastAsia" w:ascii="仿宋_GB2312" w:hAnsi="仿宋_GB2312" w:eastAsia="仿宋_GB2312" w:cs="仿宋_GB2312"/>
          <w:spacing w:val="0"/>
          <w:sz w:val="32"/>
          <w:szCs w:val="32"/>
          <w:lang w:eastAsia="zh-CN"/>
        </w:rPr>
        <w:t>。</w:t>
      </w:r>
    </w:p>
    <w:p w14:paraId="04381A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工业和信息化局负责智能网联车辆的网络数据技术监管及技术支持，建立智能车联网监管平台、并将平台数据信息与</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公安交警共享；负责车辆技术认定。</w:t>
      </w:r>
    </w:p>
    <w:p w14:paraId="608A2F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公安局</w:t>
      </w:r>
      <w:r>
        <w:rPr>
          <w:rFonts w:hint="eastAsia" w:ascii="仿宋_GB2312" w:hAnsi="仿宋_GB2312" w:eastAsia="仿宋_GB2312" w:cs="仿宋_GB2312"/>
          <w:spacing w:val="0"/>
          <w:sz w:val="32"/>
          <w:szCs w:val="32"/>
          <w:lang w:eastAsia="zh-CN"/>
        </w:rPr>
        <w:t>交通管理</w:t>
      </w:r>
      <w:r>
        <w:rPr>
          <w:rFonts w:hint="eastAsia" w:ascii="仿宋_GB2312" w:hAnsi="仿宋_GB2312" w:eastAsia="仿宋_GB2312" w:cs="仿宋_GB2312"/>
          <w:spacing w:val="0"/>
          <w:sz w:val="32"/>
          <w:szCs w:val="32"/>
        </w:rPr>
        <w:t>大队负责智能网联车辆行驶车号牌核发，会同工信、住建、交通运输、城管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南湖新城、乡镇（街道）</w:t>
      </w:r>
      <w:r>
        <w:rPr>
          <w:rFonts w:hint="eastAsia" w:ascii="仿宋_GB2312" w:hAnsi="仿宋_GB2312" w:eastAsia="仿宋_GB2312" w:cs="仿宋_GB2312"/>
          <w:spacing w:val="0"/>
          <w:sz w:val="32"/>
          <w:szCs w:val="32"/>
        </w:rPr>
        <w:t>等部门共同做好试点路段、区域的线路核定，行驶的时间核定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共同做好试点路段、区域相关交通信号、标志、标线的设置，共同做好相关测试、示范运营线路安全评估，并做好相关线路交通秩序维护、交通违法处理、交通事故处理、车辆事故应急处置。</w:t>
      </w:r>
    </w:p>
    <w:p w14:paraId="5969EA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住房和城乡建设局负责相关运营线路的建设、维护及协助做好线路通行安全评估。</w:t>
      </w:r>
    </w:p>
    <w:p w14:paraId="7F28E9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城市管理</w:t>
      </w:r>
      <w:r>
        <w:rPr>
          <w:rFonts w:hint="eastAsia" w:ascii="仿宋_GB2312" w:hAnsi="仿宋_GB2312" w:eastAsia="仿宋_GB2312" w:cs="仿宋_GB2312"/>
          <w:spacing w:val="0"/>
          <w:sz w:val="32"/>
          <w:szCs w:val="32"/>
          <w:lang w:val="en-US" w:eastAsia="zh-CN"/>
        </w:rPr>
        <w:t>局</w:t>
      </w:r>
      <w:r>
        <w:rPr>
          <w:rFonts w:hint="eastAsia" w:ascii="仿宋_GB2312" w:hAnsi="仿宋_GB2312" w:eastAsia="仿宋_GB2312" w:cs="仿宋_GB2312"/>
          <w:spacing w:val="0"/>
          <w:sz w:val="32"/>
          <w:szCs w:val="32"/>
        </w:rPr>
        <w:t>负责道路畅通，确保无人驾驶装备顺畅通行；负责无人驾驶装备接、送货物点井然有序，无占道经营等行为。</w:t>
      </w:r>
    </w:p>
    <w:p w14:paraId="5461B7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乡镇（街道）、南湖新城、九江共青城高新区规划建设局</w:t>
      </w:r>
      <w:r>
        <w:rPr>
          <w:rFonts w:hint="eastAsia" w:ascii="仿宋_GB2312" w:hAnsi="仿宋_GB2312" w:eastAsia="仿宋_GB2312" w:cs="仿宋_GB2312"/>
          <w:spacing w:val="0"/>
          <w:sz w:val="32"/>
          <w:szCs w:val="32"/>
        </w:rPr>
        <w:t>负责对接运营主体协调示范运营场地、期限等相关事宜；负责示范运营期间的相关经验总结及推广</w:t>
      </w:r>
      <w:r>
        <w:rPr>
          <w:rFonts w:hint="eastAsia" w:ascii="仿宋_GB2312" w:hAnsi="仿宋_GB2312" w:eastAsia="仿宋_GB2312" w:cs="仿宋_GB2312"/>
          <w:spacing w:val="0"/>
          <w:sz w:val="32"/>
          <w:szCs w:val="32"/>
          <w:lang w:eastAsia="zh-CN"/>
        </w:rPr>
        <w:t>。</w:t>
      </w:r>
    </w:p>
    <w:p w14:paraId="1FEFB7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pacing w:val="0"/>
          <w:sz w:val="32"/>
          <w:szCs w:val="32"/>
        </w:rPr>
      </w:pPr>
      <w:r>
        <w:rPr>
          <w:rFonts w:hint="eastAsia" w:ascii="仿宋_GB2312" w:hAnsi="仿宋_GB2312" w:eastAsia="仿宋_GB2312" w:cs="仿宋_GB2312"/>
          <w:spacing w:val="0"/>
          <w:sz w:val="32"/>
          <w:szCs w:val="32"/>
        </w:rPr>
        <w:t>联席工作小组依据本办法制定实施细则，由各成员</w:t>
      </w:r>
      <w:r>
        <w:rPr>
          <w:rFonts w:hint="eastAsia" w:ascii="仿宋_GB2312" w:hAnsi="仿宋_GB2312" w:eastAsia="仿宋_GB2312" w:cs="仿宋_GB2312"/>
          <w:spacing w:val="0"/>
          <w:sz w:val="32"/>
          <w:szCs w:val="32"/>
          <w:lang w:val="en-US" w:eastAsia="zh-CN"/>
        </w:rPr>
        <w:t>单位</w:t>
      </w:r>
      <w:r>
        <w:rPr>
          <w:rFonts w:hint="eastAsia" w:ascii="仿宋_GB2312" w:hAnsi="仿宋_GB2312" w:eastAsia="仿宋_GB2312" w:cs="仿宋_GB2312"/>
          <w:spacing w:val="0"/>
          <w:sz w:val="32"/>
          <w:szCs w:val="32"/>
        </w:rPr>
        <w:t>共同实施运营审批，负责受理无人驾驶装备示范运营申请，开展评估论证，制定全</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统一的无人驾驶装备编码规则及样式，开展无人驾驶装备测试场的认定工作，发放无人驾驶装备编码，运营维护数据监管平台，开展日常监管工作等。</w:t>
      </w:r>
    </w:p>
    <w:p w14:paraId="542C34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rPr>
      </w:pPr>
    </w:p>
    <w:p w14:paraId="3C791B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第三章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基本要求</w:t>
      </w:r>
    </w:p>
    <w:p w14:paraId="436692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rPr>
      </w:pPr>
    </w:p>
    <w:p w14:paraId="46FC868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第六条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示范运营主体是指提出无人驾驶装备示范运营申请、组织示范运营并承担相应责任的单位，是示范运营的第一责任主体，应符合以下条件：</w:t>
      </w:r>
    </w:p>
    <w:p w14:paraId="2FD573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（一）在中华人民共和国境内登记注册的独立法人单位；</w:t>
      </w:r>
    </w:p>
    <w:p w14:paraId="45653D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（二）具备无人驾驶装备制造、技术研发、试验检测或示范运营等相关业务能力；</w:t>
      </w:r>
    </w:p>
    <w:p w14:paraId="6AA305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（三）具有无人驾驶装备示范运营方案；</w:t>
      </w:r>
    </w:p>
    <w:p w14:paraId="28C533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（四）具备对示范运营车辆进行事件记录、分析和重现的能力；</w:t>
      </w:r>
    </w:p>
    <w:p w14:paraId="12407D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（五）制定安全管理体系，定期为示范运营安全专员开展培训和考核等工作，确保示范运营车辆日常管理活动的正常运行；</w:t>
      </w:r>
    </w:p>
    <w:p w14:paraId="041F1C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（六）具有远程协助平台，远程协助平台具备实时监控示范运营车辆的行驶状态和远程协助等能力；</w:t>
      </w:r>
    </w:p>
    <w:p w14:paraId="1ACA46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建立网络安全管理机制和数据安全风险评估机制，落实网络安全等级保护等要求，有效应对网络安全事件，保护示范运营车辆及其联网设施免受攻击、侵入、干扰和破坏，防止数据泄露、被窃取和篡改，维护数据的完整性、保密性和可用性；</w:t>
      </w:r>
    </w:p>
    <w:p w14:paraId="736BD8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（八）保证示范运营车辆在与远程协助平台通信过程中，信息传输的信道和数据经过加密，防止信息泄露、防止信息被篡改伪造；</w:t>
      </w:r>
    </w:p>
    <w:p w14:paraId="06CA68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九）具备风险应对机制，针对示范运营车辆在运行过程中可能出现的风险，制定相应的应急处置预案，包括但不限于事故、故障、恶劣天气等突发情况的安全处置预案，确保及时发现问题、及时排除隐患、及时消除不良影响，保障示范运营安全稳定有序开展；</w:t>
      </w:r>
    </w:p>
    <w:p w14:paraId="38485B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（十）具备执法交互机制，积极响应公安机关交通管理部门需求，与公安机关交通管理部门建立联系，确保事故发生或影响交通时能及时联系到相关示范运营负责人员；</w:t>
      </w:r>
    </w:p>
    <w:p w14:paraId="53A0C5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（十一）具备应急事件处理能力，建立健全工作制度，定期组织开展应急预案演练；</w:t>
      </w:r>
    </w:p>
    <w:p w14:paraId="527C24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（十二）对无人驾驶装备开展示范运营可能造成的人身和财产损失，具备足够的民事赔偿能力，应购买每车不低于500万元人民币的责任险；</w:t>
      </w:r>
    </w:p>
    <w:p w14:paraId="0389F0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（十三）法律、行政法规、规章规定的其他条件。</w:t>
      </w:r>
    </w:p>
    <w:p w14:paraId="5435132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第七条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安全专员（车辆动态监控专员和车辆线路运行巡查专员）是指经示范运营主体授权负责示范运营安全运行，并在出现紧急情况时，采取应急措施的人员。如出现交通事故，由示范运营安全专员接受交通违法处罚，进行现场救援、应急处理以及配合处理交通事故等。车辆动态监控人员按照人车比1：10配备，车辆线路运行巡查人员按“一线一人”配备。示范运营安全专员应符合以下条件：</w:t>
      </w:r>
    </w:p>
    <w:p w14:paraId="0B4F38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（一）与示范运营主体签订有劳动合同或劳务合同；</w:t>
      </w:r>
    </w:p>
    <w:p w14:paraId="261E53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（二）持有机动车驾驶证，熟练掌握道路交通安全法律法规等交通安全知识；</w:t>
      </w:r>
    </w:p>
    <w:p w14:paraId="2398E1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（三）取得相应准驾车型驾驶证并具有3年以上驾驶经历；</w:t>
      </w:r>
    </w:p>
    <w:p w14:paraId="094FD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（四）最近连续3个记分周期内没有被记满12分记录；</w:t>
      </w:r>
    </w:p>
    <w:p w14:paraId="6EE257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（五）最近1年内无超速50%以上、超员、超载、违反交通信号灯通行等严重交通违法行为记录；</w:t>
      </w:r>
    </w:p>
    <w:p w14:paraId="178B13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（六）无饮酒后驾驶或者醉酒驾驶机动车记录，无服用国家管制的精神药品或者麻醉药品记录，无致人死亡或者重伤且负有责任的交通事故记录；</w:t>
      </w:r>
    </w:p>
    <w:p w14:paraId="4E2353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（七）经示范运营主体培训合格，熟悉无人驾驶装备功能，熟悉无人驾驶装备自动驾驶功能测试评价体系、示范运营方案，熟练掌握无人驾驶装备操作方法，熟悉应急处置预案，具备紧急状态下应急处置能力；</w:t>
      </w:r>
    </w:p>
    <w:p w14:paraId="77A24A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（八）熟悉简单医疗救护的基本知识与应急救援有关的法律法规，掌握突发事件应对的响应程序及工作流程；</w:t>
      </w:r>
    </w:p>
    <w:p w14:paraId="17288D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（九）具备在发生紧急情况时，现场和远程协助控制车辆的能力，协助公安机关交通管理部门现场下载保存无人驾驶装备整车的车端数据和行车记录仪视频；</w:t>
      </w:r>
    </w:p>
    <w:p w14:paraId="6E3CBD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（十）法律、行政法规、规章规定的其他条件。</w:t>
      </w:r>
    </w:p>
    <w:p w14:paraId="5E88D1D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第八条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示范运营车辆应符合以下条件：</w:t>
      </w:r>
    </w:p>
    <w:p w14:paraId="406A83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（一）满足相关规定，并取得检测机构出具的合格报告;</w:t>
      </w:r>
    </w:p>
    <w:p w14:paraId="5B01CA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（二）完成无人驾驶装备测试项目，并取得本</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认定的封闭测试场出具的评估报告；</w:t>
      </w:r>
    </w:p>
    <w:p w14:paraId="39E8BB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（三）具备人工近场操控、自动驾驶和人工远程协作三种模式，且能够以安全、快速、简单的方式实现模式转换并有相应的提示；</w:t>
      </w:r>
    </w:p>
    <w:p w14:paraId="1C9856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（四）每台车辆投保保额不低于人民币500万元的责任险；</w:t>
      </w:r>
    </w:p>
    <w:p w14:paraId="55C3F7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（五）不满足设计运行范围时，应具备使车辆达到最小风险状态的能力；</w:t>
      </w:r>
    </w:p>
    <w:p w14:paraId="61BDCD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（六）在自动驾驶模式下，远程安全专员可通过远程协助平台及时、安全地将车辆切换至远程协作状态；</w:t>
      </w:r>
    </w:p>
    <w:p w14:paraId="6E9434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（七）应具备提醒功能，在行驶过程中和紧急情况下，可及时提醒其它交通参与者；</w:t>
      </w:r>
    </w:p>
    <w:p w14:paraId="66D685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（八）车辆使用高精度地图数据，应符合国家关于高精度地图的相关规定要求；</w:t>
      </w:r>
    </w:p>
    <w:p w14:paraId="2918B5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九）具备车辆状态记录、存储及在线监控功能并接受相关管理部门的监管，应向监管平台实时回传下列第1至4项信息，应自动记录和存储无人驾驶装备发生碰撞、事故、控制模式切换或失效状况发生前至少90秒及发生后30秒的下列各项信息数据，且自动记录的数据存储时间不少于3年：</w:t>
      </w:r>
    </w:p>
    <w:p w14:paraId="61BC4C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1.车辆编码；</w:t>
      </w:r>
    </w:p>
    <w:p w14:paraId="5C7FFF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2.车辆控制模式；</w:t>
      </w:r>
    </w:p>
    <w:p w14:paraId="665AE5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3.车辆位置；</w:t>
      </w:r>
    </w:p>
    <w:p w14:paraId="470014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4.车辆速度、加速度、行驶方向等运动状态；</w:t>
      </w:r>
    </w:p>
    <w:p w14:paraId="758A36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5.环境感知与响应状态；</w:t>
      </w:r>
    </w:p>
    <w:p w14:paraId="68A127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6.车辆灯光、信号实时状态；</w:t>
      </w:r>
    </w:p>
    <w:p w14:paraId="19A292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7.车辆外部360度视频监控情况；</w:t>
      </w:r>
    </w:p>
    <w:p w14:paraId="231AC0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8.车辆接收的远程控制指令；</w:t>
      </w:r>
    </w:p>
    <w:p w14:paraId="147E30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9.车辆故障情况(如有)。</w:t>
      </w:r>
    </w:p>
    <w:p w14:paraId="2D54F0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（十）法律、行政法规、规章规定的其他条件。</w:t>
      </w:r>
    </w:p>
    <w:p w14:paraId="2C5FA4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pacing w:val="0"/>
          <w:sz w:val="32"/>
          <w:szCs w:val="32"/>
        </w:rPr>
      </w:pPr>
    </w:p>
    <w:p w14:paraId="5CFD69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第四章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示范运营申请</w:t>
      </w:r>
    </w:p>
    <w:p w14:paraId="306D32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rPr>
      </w:pPr>
    </w:p>
    <w:p w14:paraId="61BBEC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第九条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在</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开展无人驾驶装备示范运营的主体、示范运营安全专员和示范运营车辆应当同时满足本办法第六条、第七条、第八条相关要求。</w:t>
      </w:r>
    </w:p>
    <w:p w14:paraId="345856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第十条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申请无人驾驶装备示范运营时，示范运营主体应当向联席工作小组提交申请材料，申请材料包括但不限于以下内容：</w:t>
      </w:r>
    </w:p>
    <w:p w14:paraId="4FC9BB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（一）示范运营主体、示范运营安全专员及示范运营车辆的基本情况；</w:t>
      </w:r>
    </w:p>
    <w:p w14:paraId="0E68D8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（二）无人驾驶装备安装的自动驾驶系统介绍，以及自动驾驶功能对应的设计运行条件说明，包括设计运行范围、自身技术条件下可能发生的最小风险状态及相应的最小风险执行方式；</w:t>
      </w:r>
    </w:p>
    <w:p w14:paraId="66B3A3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（三）经联席工作小组认定的封闭测试场出具的符合各项要求的评估报告，并在有效期内；</w:t>
      </w:r>
    </w:p>
    <w:p w14:paraId="1EE7F3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（四）无人驾驶装备示范运营承诺书；</w:t>
      </w:r>
    </w:p>
    <w:p w14:paraId="6B8951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（五）示范运营期内有效的责任保险凭证；</w:t>
      </w:r>
    </w:p>
    <w:p w14:paraId="0CA9D8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（六）示范运营安全专员有效身份证件、在职证明、培训证明等材料；</w:t>
      </w:r>
    </w:p>
    <w:p w14:paraId="381E46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（七）远程协助平台的使用说明、系统故障时的应对方案；</w:t>
      </w:r>
    </w:p>
    <w:p w14:paraId="0B758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（八）无人驾驶装备示范运营计划表；</w:t>
      </w:r>
    </w:p>
    <w:p w14:paraId="403307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（九）网络安全管理机制、保障方案、应急处理措施、数据安全和通信安全风险评估机制说明材料；</w:t>
      </w:r>
    </w:p>
    <w:p w14:paraId="7E25FC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（十）示范运营方案，包括但不限于示范运营目的、拟开展示范运营的路段或区域、时间、项目、风险分析及应对措施；</w:t>
      </w:r>
    </w:p>
    <w:p w14:paraId="77B361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（十一）接入</w:t>
      </w:r>
      <w:r>
        <w:rPr>
          <w:rFonts w:hint="eastAsia" w:ascii="仿宋_GB2312" w:hAnsi="仿宋_GB2312" w:eastAsia="仿宋_GB2312" w:cs="仿宋_GB2312"/>
          <w:spacing w:val="0"/>
          <w:sz w:val="32"/>
          <w:szCs w:val="32"/>
          <w:lang w:eastAsia="zh-CN"/>
        </w:rPr>
        <w:t>市工业和信息化</w:t>
      </w:r>
      <w:r>
        <w:rPr>
          <w:rFonts w:hint="eastAsia" w:ascii="仿宋_GB2312" w:hAnsi="仿宋_GB2312" w:eastAsia="仿宋_GB2312" w:cs="仿宋_GB2312"/>
          <w:spacing w:val="0"/>
          <w:sz w:val="32"/>
          <w:szCs w:val="32"/>
        </w:rPr>
        <w:t>局指定的智能车联网监管平台，并开放相关数据接口；</w:t>
      </w:r>
    </w:p>
    <w:p w14:paraId="5AB697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二）对初始申请或增加配置相同的示范应用车辆，应以自动驾驶模式在拟申请示范应用的路段和区域进行过合计不少于240小时或1000公里的道路测试，在测试期间无交通违法行为且未发生道路测试车辆方承担责任的交通事故;</w:t>
      </w:r>
    </w:p>
    <w:p w14:paraId="11BBC9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（十三）法律、行政法规、规章规定的其他需要提交的材料。</w:t>
      </w:r>
    </w:p>
    <w:p w14:paraId="17196DF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第十一条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联席工作小组对示范运营主体提交的申请材料进行审核，并对其示范运营能力进行评估、备案；备案后，联席工作小组向示范运营主体发放示范运营通知书，同时核发无人驾驶装备车辆编码。示范运营通知书应写明示范运营主体名称、可开展示范运营的路段或区域、时间、内容等信息。示范运营通知书有效时间原则上不超过12个月。</w:t>
      </w:r>
    </w:p>
    <w:p w14:paraId="68C079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0"/>
          <w:sz w:val="32"/>
          <w:szCs w:val="32"/>
        </w:rPr>
      </w:pPr>
    </w:p>
    <w:p w14:paraId="06E0C4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第五章</w:t>
      </w:r>
      <w:r>
        <w:rPr>
          <w:rFonts w:hint="eastAsia" w:ascii="黑体" w:hAnsi="黑体" w:eastAsia="黑体" w:cs="黑体"/>
          <w:color w:val="000000" w:themeColor="text1"/>
          <w:spacing w:val="0"/>
          <w:sz w:val="32"/>
          <w:szCs w:val="32"/>
          <w:lang w:val="en-US" w:eastAsia="zh-CN"/>
          <w14:textFill>
            <w14:solidFill>
              <w14:schemeClr w14:val="tx1"/>
            </w14:solidFill>
          </w14:textFill>
        </w:rPr>
        <w:t xml:space="preserve"> </w:t>
      </w:r>
      <w:r>
        <w:rPr>
          <w:rFonts w:hint="eastAsia" w:ascii="黑体" w:hAnsi="黑体" w:eastAsia="黑体" w:cs="黑体"/>
          <w:color w:val="000000" w:themeColor="text1"/>
          <w:spacing w:val="0"/>
          <w:sz w:val="32"/>
          <w:szCs w:val="32"/>
          <w14:textFill>
            <w14:solidFill>
              <w14:schemeClr w14:val="tx1"/>
            </w14:solidFill>
          </w14:textFill>
        </w:rPr>
        <w:t>示范运营管理</w:t>
      </w:r>
    </w:p>
    <w:p w14:paraId="76FC4E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rPr>
      </w:pPr>
    </w:p>
    <w:p w14:paraId="17C84BC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第十二条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联席工作小组应当按照“安全第一、有序运行、循序渐进、示范创新”的原则，根据道路交通流量、周边居住密度、通信链路、道路交通标识标线和示范运营主体声明的无人驾驶装备设计运行范围等因素进行综合评估，选取合适的示范运营区域和路段。</w:t>
      </w:r>
    </w:p>
    <w:p w14:paraId="71A3E5F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第十三条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联席工作小组应通过多种方式向社会、特别是示范运营路段、区域周边发布无人驾驶装备运行范围、运行时间及安全注意事项等信息。</w:t>
      </w:r>
    </w:p>
    <w:p w14:paraId="4090510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第十四条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示范运营车辆应遵守本办法及相关管理规定，未取得通知书及车辆编码的无人驾驶装备，不得开展示范运营。</w:t>
      </w:r>
    </w:p>
    <w:p w14:paraId="43B8E6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第十五条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示范运营主体、示范运营安全专员均应遵守我国道路交通安全法律法规，严格依据审核通过的时间、路段、区域和项目开展工作，并随车携带通知书备查。不得在示范运营过程中在道路上开展制动性能试验。</w:t>
      </w:r>
    </w:p>
    <w:p w14:paraId="587B06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第十六条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示范运营车辆车身应张贴车辆编码、标识和紧急联系电话，提醒周边车辆及其他交通参与者注意，但不应对周边的正常道路交通活动产生干扰。</w:t>
      </w:r>
    </w:p>
    <w:p w14:paraId="67DC84C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第十七条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车辆在示范运营过程中，不得搭载法律及行政法规禁止流通的物品，危害国家安全和政治稳定的非法出版物、宣传片、印刷物等，武器、弹药、非法药物、生化制品、传染性物品、易燃易爆、腐蚀性、放射性等物品，妨碍公共安全的物品。</w:t>
      </w:r>
    </w:p>
    <w:p w14:paraId="289E3ED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第十八条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示范运营车辆应当遵守以下通行要求：</w:t>
      </w:r>
    </w:p>
    <w:p w14:paraId="151C91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（一）在限定范围、线路、时间内行驶；两辆及以上无人驾驶装备不得并排行驶；应当在规定地点停放；未设停放地点的，停放不得妨碍其他车辆和行人通行；</w:t>
      </w:r>
    </w:p>
    <w:p w14:paraId="56CD31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（二）遇有停止信号时，应当依次停在路口停止线以外;没有停止线的，停在路口以外；</w:t>
      </w:r>
    </w:p>
    <w:p w14:paraId="4BE1CB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（三）因非机动车道被占用无法在本车道内行驶的，可以在受阻的路段借用相邻的机动车道行驶，并在驶过被占用路段后迅速驶回非机动车道；</w:t>
      </w:r>
    </w:p>
    <w:p w14:paraId="5D295A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（四）与相邻行驶的非机动车保持安全距离；在与行人混行的道路上避让行人；行经人行横道时避让行人；</w:t>
      </w:r>
    </w:p>
    <w:p w14:paraId="2D654C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（五）发生碰撞危险时，车辆应发出警报声警告其他交通参与者；</w:t>
      </w:r>
    </w:p>
    <w:p w14:paraId="2CADB0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（六）法律、行政法规、规章规定的其他条件。</w:t>
      </w:r>
    </w:p>
    <w:p w14:paraId="145B06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第十九条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示范运营车辆开展相关活动过程中发生故障或遇恶劣天气，应及时采取减速行驶、就近在安全位置停靠、现场人工处置等相应的安全处理方式。</w:t>
      </w:r>
    </w:p>
    <w:p w14:paraId="4550365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第二十条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示范运营主体应当将车辆相关数据接入</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val="en-US" w:eastAsia="zh-CN"/>
        </w:rPr>
        <w:t>工业和信息化局</w:t>
      </w:r>
      <w:r>
        <w:rPr>
          <w:rFonts w:hint="eastAsia" w:ascii="仿宋_GB2312" w:hAnsi="仿宋_GB2312" w:eastAsia="仿宋_GB2312" w:cs="仿宋_GB2312"/>
          <w:spacing w:val="0"/>
          <w:sz w:val="32"/>
          <w:szCs w:val="32"/>
        </w:rPr>
        <w:t>指定的智能车联网监管平台，</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val="en-US" w:eastAsia="zh-CN"/>
        </w:rPr>
        <w:t>工业和信息化</w:t>
      </w:r>
      <w:r>
        <w:rPr>
          <w:rFonts w:hint="eastAsia" w:ascii="仿宋_GB2312" w:hAnsi="仿宋_GB2312" w:eastAsia="仿宋_GB2312" w:cs="仿宋_GB2312"/>
          <w:spacing w:val="0"/>
          <w:sz w:val="32"/>
          <w:szCs w:val="32"/>
        </w:rPr>
        <w:t>做好监管平台及账号管理工作，监管平台应支撑交通、交管等部门开展相关工作。</w:t>
      </w:r>
    </w:p>
    <w:p w14:paraId="0E88C11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第二十一条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过程中，不得擅自进行可能影响车辆功能、性能的软硬件变更。如因示范运营需要或其他原因导致车辆功能、性能及软硬件变更的，示范运营主体应及时向联席工作小组提交变更申请，并暂停车辆示范运营等活动。</w:t>
      </w:r>
    </w:p>
    <w:p w14:paraId="361FC60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第二十二条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新增申请示范运营的“三同”(同型号、同系统、同架构)无人驾驶装备，示范应用主体应对拟增加的车辆数量及必要性进行说明，并持原申请材料、示范应用通知书、证明车辆配置相同的相关材料等，且活动期间无发生责任交通事故，由联席工作小组开展一致性核查并出具相应报告。</w:t>
      </w:r>
    </w:p>
    <w:p w14:paraId="769A9D4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第二十三条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主体应在每季度首月10日前(遇国家法定节假日可顺延至节后第1个工作日)，向联席工作小组提交上季度开展相关活动的运行报告和下季度的运行计划。运行报告内容应包括但不限于目的、路线、时间、项目、规程、脱离类别、脱离原因和脱离次数等(脱离类别包括系统故障、策略缺陷、人工安全防御、人为接管等内容)。</w:t>
      </w:r>
    </w:p>
    <w:p w14:paraId="35172E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第二十四条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联席工作小组应定期对无人驾驶装备在所辖区域的运行范围、运行时间和天气、监控设备、风险预案、网络和信息安全、安全管理等相关工作进行检查监督。对于违规操作、违反本办法要求以及造成不良影响的，联席工作小组对示范运营主体进行约谈，示范运营主体在限定时间内将问题整改到位，整改期间暂停涉事相关车辆运营，整改完成后，示范运营主体应向联席工作小组提交相关证明，获认可后方可申请恢复开展相关活动；限期整改仍未消除隐患的，取消相关车辆活动资格；示范运营主体拒不整改的，由联席工作小组撤销示范运营主体运营资格，实行强制退出。</w:t>
      </w:r>
    </w:p>
    <w:p w14:paraId="0670143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第二十五条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车辆在开展相关活动期间发生下列情形之一的，应当撤销示范运营通知书，回收车辆编码：</w:t>
      </w:r>
    </w:p>
    <w:p w14:paraId="2770E5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（一）联席工作小组认为开展相关活动具有重大安全风险的；</w:t>
      </w:r>
    </w:p>
    <w:p w14:paraId="475A21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（二）车辆有严重干扰交通秩序行为，如违反交通信号灯通行、逆行等严重交通违法行为的；</w:t>
      </w:r>
    </w:p>
    <w:p w14:paraId="311C40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（三）发生交通事故造成人员重伤、死亡或车辆毁损等严重情形，无人驾驶装备承担次要、同等及以上交通事故责任的；</w:t>
      </w:r>
    </w:p>
    <w:p w14:paraId="6DAFA7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（四）法律、行政法规、规章规定的其他条件。</w:t>
      </w:r>
    </w:p>
    <w:p w14:paraId="166BB85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第二十六条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未取得相关通知书的单位违规在道路上开展示范运营，被公安机关交通管理部门处罚的，12个月内不得在</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范围内进行无人驾驶装备示范运营申请。</w:t>
      </w:r>
    </w:p>
    <w:p w14:paraId="100AC2E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第二十七条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主体应对提交的所有材料及数据资料的真实性、合法性负法律责任。示范运营主体提交不实材料或数据资料的，联席工作小组有权撤销该主体申报的所有车辆的通知书，收回无人驾驶装备车辆编码，并12个月内不再接受该主体的示范运营申请。</w:t>
      </w:r>
    </w:p>
    <w:p w14:paraId="23B50C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pacing w:val="0"/>
          <w:sz w:val="32"/>
          <w:szCs w:val="32"/>
        </w:rPr>
      </w:pPr>
    </w:p>
    <w:p w14:paraId="2C7122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第六章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交通违法与事故处理</w:t>
      </w:r>
    </w:p>
    <w:p w14:paraId="227C50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pacing w:val="0"/>
          <w:sz w:val="32"/>
          <w:szCs w:val="32"/>
        </w:rPr>
      </w:pPr>
    </w:p>
    <w:p w14:paraId="178305F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第二十八条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示范运营车辆开展相关活动过程中发生交通事故的，应当按照以下要求进行处理：</w:t>
      </w:r>
    </w:p>
    <w:p w14:paraId="63CE23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车辆发生交通事故后，应当立即停止相关活动，并迅速拨打报警电话，出现人员伤害情况的，还应当拨打急救电话。应当利用灯光、声音等手段，进行现场防护，提示途经人员、车辆避让，防止二次事故发生；</w:t>
      </w:r>
    </w:p>
    <w:p w14:paraId="638018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（二）事故造成人身伤害的，现场安全专员应当立即抢救受伤人员。事故现场处理过程中，现场安全专员应当积极配合公安机关交通管理部门进行调查、取证工作，如实说明事故情况；</w:t>
      </w:r>
    </w:p>
    <w:p w14:paraId="1A7EB8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（三）示范运营主体应当在事故发生后及时向</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公安局</w:t>
      </w:r>
      <w:r>
        <w:rPr>
          <w:rFonts w:hint="eastAsia" w:ascii="仿宋_GB2312" w:hAnsi="仿宋_GB2312" w:eastAsia="仿宋_GB2312" w:cs="仿宋_GB2312"/>
          <w:spacing w:val="0"/>
          <w:sz w:val="32"/>
          <w:szCs w:val="32"/>
          <w:lang w:val="en-US" w:eastAsia="zh-CN"/>
        </w:rPr>
        <w:t>交通管理</w:t>
      </w:r>
      <w:r>
        <w:rPr>
          <w:rFonts w:hint="eastAsia" w:ascii="仿宋_GB2312" w:hAnsi="仿宋_GB2312" w:eastAsia="仿宋_GB2312" w:cs="仿宋_GB2312"/>
          <w:spacing w:val="0"/>
          <w:sz w:val="32"/>
          <w:szCs w:val="32"/>
        </w:rPr>
        <w:t>大队报告事故相关情况，并立即派出事故处理人员赶赴现场，调集各种应急救援资源，组织指挥应急救援工作；</w:t>
      </w:r>
    </w:p>
    <w:p w14:paraId="09EBDF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（四）接到事故信息后，</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val="en-US" w:eastAsia="zh-CN"/>
        </w:rPr>
        <w:t>工业和信息化局</w:t>
      </w:r>
      <w:r>
        <w:rPr>
          <w:rFonts w:hint="eastAsia" w:ascii="仿宋_GB2312" w:hAnsi="仿宋_GB2312" w:eastAsia="仿宋_GB2312" w:cs="仿宋_GB2312"/>
          <w:spacing w:val="0"/>
          <w:sz w:val="32"/>
          <w:szCs w:val="32"/>
        </w:rPr>
        <w:t>应通过监管平台封存事故车辆信息，并配合</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公安局</w:t>
      </w:r>
      <w:r>
        <w:rPr>
          <w:rFonts w:hint="eastAsia" w:ascii="仿宋_GB2312" w:hAnsi="仿宋_GB2312" w:eastAsia="仿宋_GB2312" w:cs="仿宋_GB2312"/>
          <w:spacing w:val="0"/>
          <w:sz w:val="32"/>
          <w:szCs w:val="32"/>
          <w:lang w:eastAsia="zh-CN"/>
        </w:rPr>
        <w:t>交通管理</w:t>
      </w:r>
      <w:r>
        <w:rPr>
          <w:rFonts w:hint="eastAsia" w:ascii="仿宋_GB2312" w:hAnsi="仿宋_GB2312" w:eastAsia="仿宋_GB2312" w:cs="仿宋_GB2312"/>
          <w:spacing w:val="0"/>
          <w:sz w:val="32"/>
          <w:szCs w:val="32"/>
        </w:rPr>
        <w:t>大队辅助开展事故数据调取、分析等工作。</w:t>
      </w:r>
    </w:p>
    <w:p w14:paraId="79F55B3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第二十九条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示范运营车辆在发生交通事故后，由公安机关交通管理</w:t>
      </w:r>
      <w:r>
        <w:rPr>
          <w:rFonts w:hint="eastAsia" w:ascii="仿宋_GB2312" w:hAnsi="仿宋_GB2312" w:eastAsia="仿宋_GB2312" w:cs="仿宋_GB2312"/>
          <w:spacing w:val="0"/>
          <w:sz w:val="32"/>
          <w:szCs w:val="32"/>
          <w:lang w:eastAsia="zh-CN"/>
        </w:rPr>
        <w:t>大队</w:t>
      </w:r>
      <w:r>
        <w:rPr>
          <w:rFonts w:hint="eastAsia" w:ascii="仿宋_GB2312" w:hAnsi="仿宋_GB2312" w:eastAsia="仿宋_GB2312" w:cs="仿宋_GB2312"/>
          <w:spacing w:val="0"/>
          <w:sz w:val="32"/>
          <w:szCs w:val="32"/>
        </w:rPr>
        <w:t>按照道路交通安全法律法规进行责任认定和违法处理。事故责任主体包括示范运营安全专员、示范运营主体等。交通违法由示范运营安全专员接受处罚。</w:t>
      </w:r>
    </w:p>
    <w:p w14:paraId="7B99263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第三十条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示范运营主体应当配合</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公安局</w:t>
      </w:r>
      <w:r>
        <w:rPr>
          <w:rFonts w:hint="eastAsia" w:ascii="仿宋_GB2312" w:hAnsi="仿宋_GB2312" w:eastAsia="仿宋_GB2312" w:cs="仿宋_GB2312"/>
          <w:spacing w:val="0"/>
          <w:sz w:val="32"/>
          <w:szCs w:val="32"/>
          <w:lang w:eastAsia="zh-CN"/>
        </w:rPr>
        <w:t>交通管理</w:t>
      </w:r>
      <w:r>
        <w:rPr>
          <w:rFonts w:hint="eastAsia" w:ascii="仿宋_GB2312" w:hAnsi="仿宋_GB2312" w:eastAsia="仿宋_GB2312" w:cs="仿宋_GB2312"/>
          <w:spacing w:val="0"/>
          <w:sz w:val="32"/>
          <w:szCs w:val="32"/>
        </w:rPr>
        <w:t>大队完成调查取证、责任认定及其它善后事宜。承担次要、同等及以上交通事故责任的，联席工作小组应当暂停该车辆相关活动。</w:t>
      </w:r>
    </w:p>
    <w:p w14:paraId="75AD719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第三十一条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公安局</w:t>
      </w:r>
      <w:r>
        <w:rPr>
          <w:rFonts w:hint="eastAsia" w:ascii="仿宋_GB2312" w:hAnsi="仿宋_GB2312" w:eastAsia="仿宋_GB2312" w:cs="仿宋_GB2312"/>
          <w:spacing w:val="0"/>
          <w:sz w:val="32"/>
          <w:szCs w:val="32"/>
          <w:lang w:eastAsia="zh-CN"/>
        </w:rPr>
        <w:t>交通管理</w:t>
      </w:r>
      <w:r>
        <w:rPr>
          <w:rFonts w:hint="eastAsia" w:ascii="仿宋_GB2312" w:hAnsi="仿宋_GB2312" w:eastAsia="仿宋_GB2312" w:cs="仿宋_GB2312"/>
          <w:spacing w:val="0"/>
          <w:sz w:val="32"/>
          <w:szCs w:val="32"/>
        </w:rPr>
        <w:t>大队应依托</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智能车联网监管平台，于事故发生24小时内就事故情况形成书面报告，</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公安局</w:t>
      </w:r>
      <w:r>
        <w:rPr>
          <w:rFonts w:hint="eastAsia" w:ascii="仿宋_GB2312" w:hAnsi="仿宋_GB2312" w:eastAsia="仿宋_GB2312" w:cs="仿宋_GB2312"/>
          <w:spacing w:val="0"/>
          <w:sz w:val="32"/>
          <w:szCs w:val="32"/>
          <w:lang w:eastAsia="zh-CN"/>
        </w:rPr>
        <w:t>交通管理</w:t>
      </w:r>
      <w:r>
        <w:rPr>
          <w:rFonts w:hint="eastAsia" w:ascii="仿宋_GB2312" w:hAnsi="仿宋_GB2312" w:eastAsia="仿宋_GB2312" w:cs="仿宋_GB2312"/>
          <w:spacing w:val="0"/>
          <w:sz w:val="32"/>
          <w:szCs w:val="32"/>
        </w:rPr>
        <w:t>大队如有办理案件需要，应组建事故专家工作组，出具事故分析报告。</w:t>
      </w:r>
    </w:p>
    <w:p w14:paraId="61AE919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第三十二条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交通事故责任认定后5个工作日内，示范运营主体应当向联席工作小组提交事故原因分析报告等相关材料。</w:t>
      </w:r>
    </w:p>
    <w:p w14:paraId="7F2EC84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第三十三条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联席工作小组视交通违法情节和违法结果情况，可采取停止事故车辆相关活动、限制该示范运营主体车辆数量和运行时间、停止该主体区域内全部活动等措施，待整改完毕并通过审核后准许其恢复活动。</w:t>
      </w:r>
    </w:p>
    <w:p w14:paraId="4D1BBD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pacing w:val="0"/>
          <w:sz w:val="32"/>
          <w:szCs w:val="32"/>
        </w:rPr>
      </w:pPr>
    </w:p>
    <w:p w14:paraId="6FEB1F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第七章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责任与义务</w:t>
      </w:r>
    </w:p>
    <w:p w14:paraId="04C060D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pacing w:val="0"/>
          <w:sz w:val="32"/>
          <w:szCs w:val="32"/>
        </w:rPr>
      </w:pPr>
    </w:p>
    <w:p w14:paraId="0349B6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第三十四条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为保障运营线路安全的稳定性、持续性，示范运营主体应设置运营安全维护资金，建立安全维护专用财务账号，每年提取上一年度营业额的1.5%做为运营道路安全保障基金，用于运营道路的改扩建、维修和抢险，完善道路附属基础设施等。城区道路由</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住房和城</w:t>
      </w:r>
      <w:r>
        <w:rPr>
          <w:rFonts w:hint="eastAsia" w:ascii="仿宋_GB2312" w:hAnsi="仿宋_GB2312" w:eastAsia="仿宋_GB2312" w:cs="仿宋_GB2312"/>
          <w:spacing w:val="0"/>
          <w:sz w:val="32"/>
          <w:szCs w:val="32"/>
          <w:lang w:val="en-US" w:eastAsia="zh-CN"/>
        </w:rPr>
        <w:t>乡</w:t>
      </w:r>
      <w:r>
        <w:rPr>
          <w:rFonts w:hint="eastAsia" w:ascii="仿宋_GB2312" w:hAnsi="仿宋_GB2312" w:eastAsia="仿宋_GB2312" w:cs="仿宋_GB2312"/>
          <w:spacing w:val="0"/>
          <w:sz w:val="32"/>
          <w:szCs w:val="32"/>
        </w:rPr>
        <w:t>建设局及</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城市管理局负责，</w:t>
      </w:r>
      <w:r>
        <w:rPr>
          <w:rFonts w:hint="eastAsia" w:ascii="仿宋_GB2312" w:hAnsi="仿宋_GB2312" w:eastAsia="仿宋_GB2312" w:cs="仿宋_GB2312"/>
          <w:spacing w:val="0"/>
          <w:sz w:val="32"/>
          <w:szCs w:val="32"/>
          <w:lang w:val="en-US" w:eastAsia="zh-CN"/>
        </w:rPr>
        <w:t>九江共青城高新区道路由九江共青城高新区规划建设局负责，南湖新城道路由南湖新城管委会负责，</w:t>
      </w:r>
      <w:r>
        <w:rPr>
          <w:rFonts w:hint="eastAsia" w:ascii="仿宋_GB2312" w:hAnsi="仿宋_GB2312" w:eastAsia="仿宋_GB2312" w:cs="仿宋_GB2312"/>
          <w:spacing w:val="0"/>
          <w:sz w:val="32"/>
          <w:szCs w:val="32"/>
        </w:rPr>
        <w:t>国省干线由</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公路发展中心负责，农村公路的县道由</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交通运输局负责，乡村道路由属地乡镇政府负责。</w:t>
      </w:r>
    </w:p>
    <w:p w14:paraId="2E6818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pacing w:val="0"/>
          <w:sz w:val="32"/>
          <w:szCs w:val="32"/>
        </w:rPr>
      </w:pPr>
    </w:p>
    <w:p w14:paraId="39B2F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第八章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附则</w:t>
      </w:r>
    </w:p>
    <w:p w14:paraId="073A5A8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pacing w:val="0"/>
          <w:sz w:val="32"/>
          <w:szCs w:val="32"/>
        </w:rPr>
      </w:pPr>
    </w:p>
    <w:p w14:paraId="1B7CE15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第三十五条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本办法所称设计运行范围，是指自动驾驶系统设计时确定的适用于其功能运行的外部环境条件，一般包括：1)道路边界与路面状态；2)交通基础设施；3)临时性道路变更；4)其他交通参与者状态；5)自然环境；6)网联通信、数字地图支持等条件。</w:t>
      </w:r>
    </w:p>
    <w:p w14:paraId="2CD111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第三十六条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本办法由</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智能网联汽车道路测试与应用联席工作小组办公室负责解释。</w:t>
      </w:r>
    </w:p>
    <w:p w14:paraId="49C1383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第三十七条</w:t>
      </w:r>
      <w:r>
        <w:rPr>
          <w:rFonts w:hint="eastAsia" w:ascii="楷体_GB2312" w:hAnsi="楷体_GB2312" w:eastAsia="楷体_GB2312" w:cs="楷体_GB2312"/>
          <w:b/>
          <w:bCs/>
          <w:spacing w:val="0"/>
          <w:sz w:val="32"/>
          <w:szCs w:val="32"/>
          <w:lang w:val="en-US" w:eastAsia="zh-CN"/>
        </w:rPr>
        <w:t xml:space="preserve"> </w:t>
      </w:r>
      <w:r>
        <w:rPr>
          <w:rFonts w:hint="eastAsia" w:ascii="仿宋_GB2312" w:hAnsi="仿宋_GB2312" w:eastAsia="仿宋_GB2312" w:cs="仿宋_GB2312"/>
          <w:spacing w:val="0"/>
          <w:sz w:val="32"/>
          <w:szCs w:val="32"/>
        </w:rPr>
        <w:t>本办法自发布之日起实施。</w:t>
      </w:r>
    </w:p>
    <w:p w14:paraId="29C300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rPr>
        <w:sectPr>
          <w:footerReference r:id="rId3" w:type="default"/>
          <w:pgSz w:w="11907" w:h="16839"/>
          <w:pgMar w:top="1431" w:right="1645" w:bottom="1375" w:left="1729" w:header="0" w:footer="1211" w:gutter="0"/>
          <w:pgNumType w:fmt="decimal"/>
          <w:cols w:space="720" w:num="1"/>
        </w:sectPr>
      </w:pPr>
    </w:p>
    <w:p w14:paraId="40B1EE2B">
      <w:pPr>
        <w:bidi w:val="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附件1</w:t>
      </w:r>
      <w:r>
        <w:rPr>
          <w:rFonts w:hint="eastAsia" w:ascii="仿宋_GB2312" w:hAnsi="仿宋_GB2312" w:eastAsia="仿宋_GB2312" w:cs="仿宋_GB2312"/>
          <w:spacing w:val="0"/>
          <w:sz w:val="32"/>
          <w:szCs w:val="32"/>
          <w:lang w:eastAsia="zh-CN"/>
        </w:rPr>
        <w:t>：</w:t>
      </w:r>
    </w:p>
    <w:p w14:paraId="4F3B8B0B">
      <w:pPr>
        <w:bidi w:val="0"/>
        <w:rPr>
          <w:rFonts w:hint="eastAsia" w:ascii="仿宋_GB2312" w:hAnsi="仿宋_GB2312" w:eastAsia="仿宋_GB2312" w:cs="仿宋_GB2312"/>
          <w:spacing w:val="0"/>
          <w:sz w:val="32"/>
          <w:szCs w:val="32"/>
        </w:rPr>
      </w:pPr>
    </w:p>
    <w:p w14:paraId="7DD86DC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关于无人驾驶装备编码与标识的规定</w:t>
      </w:r>
    </w:p>
    <w:p w14:paraId="7724C4EF">
      <w:pPr>
        <w:bidi w:val="0"/>
        <w:rPr>
          <w:rFonts w:hint="eastAsia" w:ascii="仿宋_GB2312" w:hAnsi="仿宋_GB2312" w:eastAsia="仿宋_GB2312" w:cs="仿宋_GB2312"/>
          <w:spacing w:val="0"/>
          <w:sz w:val="32"/>
          <w:szCs w:val="32"/>
        </w:rPr>
      </w:pPr>
    </w:p>
    <w:p w14:paraId="6E6B4AB8">
      <w:pPr>
        <w:bidi w:val="0"/>
        <w:rPr>
          <w:rFonts w:hint="eastAsia" w:ascii="仿宋_GB2312" w:hAnsi="仿宋_GB2312" w:eastAsia="仿宋_GB2312" w:cs="仿宋_GB2312"/>
          <w:spacing w:val="0"/>
          <w:sz w:val="32"/>
          <w:szCs w:val="32"/>
        </w:rPr>
      </w:pPr>
    </w:p>
    <w:p w14:paraId="23C23C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1.在</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范围内进行与示范运营的无人驾驶装备应配有要求的车辆编码和标识，编码为</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个汉字代表“</w:t>
      </w:r>
      <w:r>
        <w:rPr>
          <w:rFonts w:hint="eastAsia" w:ascii="仿宋_GB2312" w:hAnsi="仿宋_GB2312" w:eastAsia="仿宋_GB2312" w:cs="仿宋_GB2312"/>
          <w:spacing w:val="0"/>
          <w:sz w:val="32"/>
          <w:szCs w:val="32"/>
          <w:lang w:eastAsia="zh-CN"/>
        </w:rPr>
        <w:t>共青</w:t>
      </w:r>
      <w:r>
        <w:rPr>
          <w:rFonts w:hint="eastAsia" w:ascii="仿宋_GB2312" w:hAnsi="仿宋_GB2312" w:eastAsia="仿宋_GB2312" w:cs="仿宋_GB2312"/>
          <w:spacing w:val="0"/>
          <w:sz w:val="32"/>
          <w:szCs w:val="32"/>
          <w:lang w:val="en-US" w:eastAsia="zh-CN"/>
        </w:rPr>
        <w:t>城</w:t>
      </w:r>
      <w:r>
        <w:rPr>
          <w:rFonts w:hint="eastAsia" w:ascii="仿宋_GB2312" w:hAnsi="仿宋_GB2312" w:eastAsia="仿宋_GB2312" w:cs="仿宋_GB2312"/>
          <w:spacing w:val="0"/>
          <w:sz w:val="32"/>
          <w:szCs w:val="32"/>
        </w:rPr>
        <w:t>”、2-3个代表企业简称的汉字和4个阿拉伯数字组成(例：</w:t>
      </w:r>
      <w:r>
        <w:rPr>
          <w:rFonts w:hint="eastAsia" w:ascii="仿宋_GB2312" w:hAnsi="仿宋_GB2312" w:eastAsia="仿宋_GB2312" w:cs="仿宋_GB2312"/>
          <w:spacing w:val="0"/>
          <w:sz w:val="32"/>
          <w:szCs w:val="32"/>
          <w:lang w:eastAsia="zh-CN"/>
        </w:rPr>
        <w:t>共青</w:t>
      </w:r>
      <w:r>
        <w:rPr>
          <w:rFonts w:hint="eastAsia" w:ascii="仿宋_GB2312" w:hAnsi="仿宋_GB2312" w:eastAsia="仿宋_GB2312" w:cs="仿宋_GB2312"/>
          <w:spacing w:val="0"/>
          <w:sz w:val="32"/>
          <w:szCs w:val="32"/>
          <w:lang w:val="en-US" w:eastAsia="zh-CN"/>
        </w:rPr>
        <w:t>城</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九识</w:t>
      </w:r>
      <w:r>
        <w:rPr>
          <w:rFonts w:hint="eastAsia" w:ascii="仿宋_GB2312" w:hAnsi="仿宋_GB2312" w:eastAsia="仿宋_GB2312" w:cs="仿宋_GB2312"/>
          <w:spacing w:val="0"/>
          <w:sz w:val="32"/>
          <w:szCs w:val="32"/>
        </w:rPr>
        <w:t>0001)，标识含“无人驾驶装备示范运营车辆”“编码”“二维码”“有效期”字样，</w:t>
      </w:r>
      <w:r>
        <w:rPr>
          <w:rFonts w:hint="eastAsia" w:ascii="仿宋_GB2312" w:hAnsi="仿宋_GB2312" w:eastAsia="仿宋_GB2312" w:cs="仿宋_GB2312"/>
          <w:spacing w:val="0"/>
          <w:sz w:val="32"/>
          <w:szCs w:val="32"/>
          <w:lang w:val="en-US" w:eastAsia="zh-CN"/>
        </w:rPr>
        <w:t>测试期间加上“测试”字样（</w:t>
      </w:r>
      <w:r>
        <w:rPr>
          <w:rFonts w:hint="eastAsia" w:ascii="仿宋_GB2312" w:hAnsi="仿宋_GB2312" w:eastAsia="仿宋_GB2312" w:cs="仿宋_GB2312"/>
          <w:spacing w:val="0"/>
          <w:sz w:val="32"/>
          <w:szCs w:val="32"/>
        </w:rPr>
        <w:t>例：</w:t>
      </w:r>
      <w:r>
        <w:rPr>
          <w:rFonts w:hint="eastAsia" w:ascii="仿宋_GB2312" w:hAnsi="仿宋_GB2312" w:eastAsia="仿宋_GB2312" w:cs="仿宋_GB2312"/>
          <w:spacing w:val="0"/>
          <w:sz w:val="32"/>
          <w:szCs w:val="32"/>
          <w:lang w:eastAsia="zh-CN"/>
        </w:rPr>
        <w:t>共青</w:t>
      </w:r>
      <w:r>
        <w:rPr>
          <w:rFonts w:hint="eastAsia" w:ascii="仿宋_GB2312" w:hAnsi="仿宋_GB2312" w:eastAsia="仿宋_GB2312" w:cs="仿宋_GB2312"/>
          <w:spacing w:val="0"/>
          <w:sz w:val="32"/>
          <w:szCs w:val="32"/>
          <w:lang w:val="en-US" w:eastAsia="zh-CN"/>
        </w:rPr>
        <w:t>城</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九识</w:t>
      </w:r>
      <w:r>
        <w:rPr>
          <w:rFonts w:hint="eastAsia" w:ascii="仿宋_GB2312" w:hAnsi="仿宋_GB2312" w:eastAsia="仿宋_GB2312" w:cs="仿宋_GB2312"/>
          <w:spacing w:val="0"/>
          <w:sz w:val="32"/>
          <w:szCs w:val="32"/>
        </w:rPr>
        <w:t>0001</w:t>
      </w:r>
      <w:r>
        <w:rPr>
          <w:rFonts w:hint="eastAsia" w:ascii="仿宋_GB2312" w:hAnsi="仿宋_GB2312" w:eastAsia="仿宋_GB2312" w:cs="仿宋_GB2312"/>
          <w:spacing w:val="0"/>
          <w:sz w:val="32"/>
          <w:szCs w:val="32"/>
          <w:lang w:val="en-US" w:eastAsia="zh-CN"/>
        </w:rPr>
        <w:t>测试），</w:t>
      </w:r>
      <w:r>
        <w:rPr>
          <w:rFonts w:hint="eastAsia" w:ascii="仿宋_GB2312" w:hAnsi="仿宋_GB2312" w:eastAsia="仿宋_GB2312" w:cs="仿宋_GB2312"/>
          <w:spacing w:val="0"/>
          <w:sz w:val="32"/>
          <w:szCs w:val="32"/>
        </w:rPr>
        <w:t>具体样式以联席工作小组发布为准。</w:t>
      </w:r>
    </w:p>
    <w:p w14:paraId="659AE0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2.编码与标识由联席工作小组统一发放，申请主体在进行示范运营活动时必须按照规定将编码与标识置于指定位置。</w:t>
      </w:r>
    </w:p>
    <w:p w14:paraId="0C871B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3.无人驾驶装备实行“一车一码”，每辆终身分配一个编码，且此编码唯一。</w:t>
      </w:r>
    </w:p>
    <w:p w14:paraId="08438E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4.联席工作小组收回编码与标识，在此期间，相关无人驾驶装备不可进行示范运营活动。</w:t>
      </w:r>
    </w:p>
    <w:p w14:paraId="00FC6F26">
      <w:pPr>
        <w:bidi w:val="0"/>
        <w:rPr>
          <w:rFonts w:hint="eastAsia" w:ascii="仿宋_GB2312" w:hAnsi="仿宋_GB2312" w:eastAsia="仿宋_GB2312" w:cs="仿宋_GB2312"/>
          <w:spacing w:val="0"/>
          <w:sz w:val="32"/>
          <w:szCs w:val="32"/>
        </w:rPr>
        <w:sectPr>
          <w:footerReference r:id="rId4" w:type="default"/>
          <w:pgSz w:w="11907" w:h="16839"/>
          <w:pgMar w:top="1431" w:right="1458" w:bottom="1374" w:left="1405" w:header="0" w:footer="1211" w:gutter="0"/>
          <w:pgNumType w:fmt="decimal"/>
          <w:cols w:space="720" w:num="1"/>
        </w:sectPr>
      </w:pPr>
    </w:p>
    <w:p w14:paraId="73213998">
      <w:pPr>
        <w:bidi w:val="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附件2</w:t>
      </w:r>
      <w:r>
        <w:rPr>
          <w:rFonts w:hint="eastAsia" w:ascii="仿宋_GB2312" w:hAnsi="仿宋_GB2312" w:eastAsia="仿宋_GB2312" w:cs="仿宋_GB2312"/>
          <w:spacing w:val="0"/>
          <w:sz w:val="32"/>
          <w:szCs w:val="32"/>
          <w:lang w:eastAsia="zh-CN"/>
        </w:rPr>
        <w:t>：</w:t>
      </w:r>
    </w:p>
    <w:p w14:paraId="68A04B81">
      <w:pPr>
        <w:pStyle w:val="2"/>
        <w:spacing w:line="306" w:lineRule="auto"/>
        <w:rPr>
          <w:spacing w:val="0"/>
        </w:rPr>
      </w:pPr>
    </w:p>
    <w:p w14:paraId="2B698455">
      <w:pPr>
        <w:bidi w:val="0"/>
        <w:jc w:val="center"/>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无人驾驶装备测试项目</w:t>
      </w:r>
    </w:p>
    <w:p w14:paraId="30004B77">
      <w:pPr>
        <w:spacing w:before="17"/>
        <w:rPr>
          <w:spacing w:val="0"/>
        </w:rPr>
      </w:pPr>
    </w:p>
    <w:tbl>
      <w:tblPr>
        <w:tblStyle w:val="8"/>
        <w:tblW w:w="8435" w:type="dxa"/>
        <w:tblInd w:w="3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7"/>
        <w:gridCol w:w="6928"/>
      </w:tblGrid>
      <w:tr w14:paraId="54AD4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07" w:type="dxa"/>
            <w:vAlign w:val="center"/>
          </w:tcPr>
          <w:p w14:paraId="316A8363">
            <w:pPr>
              <w:keepNext w:val="0"/>
              <w:keepLines w:val="0"/>
              <w:pageBreakBefore w:val="0"/>
              <w:widowControl w:val="0"/>
              <w:kinsoku/>
              <w:wordWrap/>
              <w:overflowPunct/>
              <w:topLinePunct w:val="0"/>
              <w:autoSpaceDE/>
              <w:autoSpaceDN/>
              <w:bidi w:val="0"/>
              <w:adjustRightInd/>
              <w:snapToGrid/>
              <w:spacing w:line="480" w:lineRule="exact"/>
              <w:ind w:right="133"/>
              <w:jc w:val="center"/>
              <w:textAlignment w:val="auto"/>
              <w:rPr>
                <w:rFonts w:ascii="黑体" w:hAnsi="黑体" w:eastAsia="黑体" w:cs="黑体"/>
                <w:spacing w:val="0"/>
                <w:sz w:val="30"/>
                <w:szCs w:val="30"/>
              </w:rPr>
            </w:pPr>
            <w:r>
              <w:rPr>
                <w:rFonts w:ascii="黑体" w:hAnsi="黑体" w:eastAsia="黑体" w:cs="黑体"/>
                <w:spacing w:val="0"/>
                <w:sz w:val="30"/>
                <w:szCs w:val="30"/>
              </w:rPr>
              <w:t>序号</w:t>
            </w:r>
          </w:p>
        </w:tc>
        <w:tc>
          <w:tcPr>
            <w:tcW w:w="6928" w:type="dxa"/>
            <w:vAlign w:val="center"/>
          </w:tcPr>
          <w:p w14:paraId="382A84AD">
            <w:pPr>
              <w:keepNext w:val="0"/>
              <w:keepLines w:val="0"/>
              <w:pageBreakBefore w:val="0"/>
              <w:widowControl w:val="0"/>
              <w:kinsoku/>
              <w:wordWrap/>
              <w:overflowPunct/>
              <w:topLinePunct w:val="0"/>
              <w:autoSpaceDE/>
              <w:autoSpaceDN/>
              <w:bidi w:val="0"/>
              <w:adjustRightInd/>
              <w:snapToGrid/>
              <w:spacing w:line="480" w:lineRule="exact"/>
              <w:ind w:right="133"/>
              <w:jc w:val="center"/>
              <w:textAlignment w:val="auto"/>
              <w:rPr>
                <w:rFonts w:ascii="黑体" w:hAnsi="黑体" w:eastAsia="黑体" w:cs="黑体"/>
                <w:spacing w:val="0"/>
                <w:sz w:val="30"/>
                <w:szCs w:val="30"/>
              </w:rPr>
            </w:pPr>
            <w:r>
              <w:rPr>
                <w:rFonts w:ascii="黑体" w:hAnsi="黑体" w:eastAsia="黑体" w:cs="黑体"/>
                <w:spacing w:val="0"/>
                <w:sz w:val="30"/>
                <w:szCs w:val="30"/>
              </w:rPr>
              <w:t>测试项目</w:t>
            </w:r>
          </w:p>
        </w:tc>
      </w:tr>
      <w:tr w14:paraId="49968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507" w:type="dxa"/>
            <w:vAlign w:val="center"/>
          </w:tcPr>
          <w:p w14:paraId="687B874E">
            <w:pPr>
              <w:pStyle w:val="9"/>
              <w:spacing w:before="97" w:line="186" w:lineRule="auto"/>
              <w:ind w:left="704"/>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p>
        </w:tc>
        <w:tc>
          <w:tcPr>
            <w:tcW w:w="6928" w:type="dxa"/>
            <w:vAlign w:val="center"/>
          </w:tcPr>
          <w:p w14:paraId="1F897325">
            <w:pPr>
              <w:pStyle w:val="9"/>
              <w:spacing w:before="265" w:line="226" w:lineRule="auto"/>
              <w:jc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交通标志和标线的识别及响应</w:t>
            </w:r>
          </w:p>
        </w:tc>
      </w:tr>
      <w:tr w14:paraId="7FC72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507" w:type="dxa"/>
            <w:vAlign w:val="center"/>
          </w:tcPr>
          <w:p w14:paraId="2897133D">
            <w:pPr>
              <w:pStyle w:val="9"/>
              <w:spacing w:before="98" w:line="185" w:lineRule="auto"/>
              <w:ind w:left="685"/>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w:t>
            </w:r>
          </w:p>
        </w:tc>
        <w:tc>
          <w:tcPr>
            <w:tcW w:w="6928" w:type="dxa"/>
            <w:vAlign w:val="center"/>
          </w:tcPr>
          <w:p w14:paraId="07C6B2FF">
            <w:pPr>
              <w:pStyle w:val="9"/>
              <w:spacing w:before="275" w:line="225" w:lineRule="auto"/>
              <w:ind w:left="177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交通信号灯的识别及响应</w:t>
            </w:r>
          </w:p>
        </w:tc>
      </w:tr>
      <w:tr w14:paraId="43D73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507" w:type="dxa"/>
            <w:vAlign w:val="center"/>
          </w:tcPr>
          <w:p w14:paraId="5B547214">
            <w:pPr>
              <w:pStyle w:val="9"/>
              <w:spacing w:before="98" w:line="185" w:lineRule="auto"/>
              <w:ind w:left="687"/>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w:t>
            </w:r>
          </w:p>
        </w:tc>
        <w:tc>
          <w:tcPr>
            <w:tcW w:w="6928" w:type="dxa"/>
            <w:vAlign w:val="center"/>
          </w:tcPr>
          <w:p w14:paraId="45961984">
            <w:pPr>
              <w:pStyle w:val="9"/>
              <w:spacing w:before="266" w:line="225" w:lineRule="auto"/>
              <w:ind w:left="2089"/>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障碍物的识别及响应</w:t>
            </w:r>
          </w:p>
        </w:tc>
      </w:tr>
      <w:tr w14:paraId="48EFD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07" w:type="dxa"/>
            <w:vAlign w:val="center"/>
          </w:tcPr>
          <w:p w14:paraId="43A545FE">
            <w:pPr>
              <w:pStyle w:val="9"/>
              <w:spacing w:before="98" w:line="185" w:lineRule="auto"/>
              <w:ind w:left="68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w:t>
            </w:r>
          </w:p>
        </w:tc>
        <w:tc>
          <w:tcPr>
            <w:tcW w:w="6928" w:type="dxa"/>
            <w:vAlign w:val="center"/>
          </w:tcPr>
          <w:p w14:paraId="76324E5B">
            <w:pPr>
              <w:pStyle w:val="9"/>
              <w:spacing w:before="262" w:line="225" w:lineRule="auto"/>
              <w:ind w:left="2224"/>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机动车识别及响应</w:t>
            </w:r>
          </w:p>
        </w:tc>
      </w:tr>
      <w:tr w14:paraId="63E02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07" w:type="dxa"/>
            <w:vAlign w:val="center"/>
          </w:tcPr>
          <w:p w14:paraId="086F8E0E">
            <w:pPr>
              <w:pStyle w:val="9"/>
              <w:spacing w:before="98" w:line="184" w:lineRule="auto"/>
              <w:ind w:left="687"/>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w:t>
            </w:r>
          </w:p>
        </w:tc>
        <w:tc>
          <w:tcPr>
            <w:tcW w:w="6928" w:type="dxa"/>
            <w:vAlign w:val="center"/>
          </w:tcPr>
          <w:p w14:paraId="73CAC36F">
            <w:pPr>
              <w:pStyle w:val="9"/>
              <w:spacing w:before="275" w:line="225" w:lineRule="auto"/>
              <w:ind w:left="1459"/>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行人和非机动车的识别及响应</w:t>
            </w:r>
          </w:p>
        </w:tc>
      </w:tr>
      <w:tr w14:paraId="02A00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07" w:type="dxa"/>
            <w:vAlign w:val="center"/>
          </w:tcPr>
          <w:p w14:paraId="4D3243DB">
            <w:pPr>
              <w:pStyle w:val="9"/>
              <w:spacing w:before="98" w:line="185" w:lineRule="auto"/>
              <w:ind w:left="683"/>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w:t>
            </w:r>
          </w:p>
        </w:tc>
        <w:tc>
          <w:tcPr>
            <w:tcW w:w="6928" w:type="dxa"/>
            <w:vAlign w:val="center"/>
          </w:tcPr>
          <w:p w14:paraId="6F908AB7">
            <w:pPr>
              <w:pStyle w:val="9"/>
              <w:spacing w:before="271" w:line="225" w:lineRule="auto"/>
              <w:ind w:left="1606"/>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车辆行驶状态的识别及响应</w:t>
            </w:r>
          </w:p>
        </w:tc>
      </w:tr>
      <w:tr w14:paraId="71495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07" w:type="dxa"/>
            <w:vAlign w:val="center"/>
          </w:tcPr>
          <w:p w14:paraId="5358FBD6">
            <w:pPr>
              <w:pStyle w:val="9"/>
              <w:spacing w:before="98" w:line="184" w:lineRule="auto"/>
              <w:ind w:left="688"/>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w:t>
            </w:r>
          </w:p>
        </w:tc>
        <w:tc>
          <w:tcPr>
            <w:tcW w:w="6928" w:type="dxa"/>
            <w:vAlign w:val="center"/>
          </w:tcPr>
          <w:p w14:paraId="15E4A94A">
            <w:pPr>
              <w:pStyle w:val="9"/>
              <w:spacing w:before="271" w:line="225" w:lineRule="auto"/>
              <w:ind w:left="2695"/>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靠路边停车</w:t>
            </w:r>
          </w:p>
        </w:tc>
      </w:tr>
      <w:tr w14:paraId="53B05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07" w:type="dxa"/>
            <w:vAlign w:val="center"/>
          </w:tcPr>
          <w:p w14:paraId="19828480">
            <w:pPr>
              <w:pStyle w:val="9"/>
              <w:spacing w:before="97" w:line="185" w:lineRule="auto"/>
              <w:ind w:left="682"/>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8</w:t>
            </w:r>
          </w:p>
        </w:tc>
        <w:tc>
          <w:tcPr>
            <w:tcW w:w="6928" w:type="dxa"/>
            <w:vAlign w:val="center"/>
          </w:tcPr>
          <w:p w14:paraId="468CEE8E">
            <w:pPr>
              <w:pStyle w:val="9"/>
              <w:spacing w:before="279" w:line="225" w:lineRule="auto"/>
              <w:ind w:left="2537"/>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直行通过路口</w:t>
            </w:r>
          </w:p>
        </w:tc>
      </w:tr>
      <w:tr w14:paraId="2135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507" w:type="dxa"/>
            <w:vAlign w:val="center"/>
          </w:tcPr>
          <w:p w14:paraId="799429BA">
            <w:pPr>
              <w:pStyle w:val="9"/>
              <w:spacing w:before="97" w:line="185" w:lineRule="auto"/>
              <w:ind w:left="682"/>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9</w:t>
            </w:r>
          </w:p>
        </w:tc>
        <w:tc>
          <w:tcPr>
            <w:tcW w:w="6928" w:type="dxa"/>
            <w:vAlign w:val="center"/>
          </w:tcPr>
          <w:p w14:paraId="17C4B787">
            <w:pPr>
              <w:pStyle w:val="9"/>
              <w:spacing w:before="274" w:line="225" w:lineRule="auto"/>
              <w:ind w:left="2696"/>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路口右转弯</w:t>
            </w:r>
          </w:p>
        </w:tc>
      </w:tr>
      <w:tr w14:paraId="1356F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07" w:type="dxa"/>
            <w:vAlign w:val="center"/>
          </w:tcPr>
          <w:p w14:paraId="3E2BF61A">
            <w:pPr>
              <w:pStyle w:val="9"/>
              <w:spacing w:before="97" w:line="186" w:lineRule="auto"/>
              <w:ind w:left="625"/>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10</w:t>
            </w:r>
          </w:p>
        </w:tc>
        <w:tc>
          <w:tcPr>
            <w:tcW w:w="6928" w:type="dxa"/>
            <w:vAlign w:val="center"/>
          </w:tcPr>
          <w:p w14:paraId="2F399EAF">
            <w:pPr>
              <w:pStyle w:val="9"/>
              <w:spacing w:before="282" w:line="225" w:lineRule="auto"/>
              <w:ind w:left="1924"/>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紧急工况下的响应能力</w:t>
            </w:r>
          </w:p>
        </w:tc>
      </w:tr>
      <w:tr w14:paraId="5BC6F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07" w:type="dxa"/>
            <w:vAlign w:val="center"/>
          </w:tcPr>
          <w:p w14:paraId="0F07E1D2">
            <w:pPr>
              <w:pStyle w:val="9"/>
              <w:spacing w:before="98" w:line="186" w:lineRule="auto"/>
              <w:ind w:left="622"/>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11</w:t>
            </w:r>
          </w:p>
        </w:tc>
        <w:tc>
          <w:tcPr>
            <w:tcW w:w="6928" w:type="dxa"/>
            <w:vAlign w:val="center"/>
          </w:tcPr>
          <w:p w14:paraId="60F38633">
            <w:pPr>
              <w:pStyle w:val="9"/>
              <w:spacing w:before="273" w:line="225" w:lineRule="auto"/>
              <w:ind w:left="2844"/>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远程操控</w:t>
            </w:r>
          </w:p>
        </w:tc>
      </w:tr>
      <w:tr w14:paraId="5CA31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507" w:type="dxa"/>
            <w:vAlign w:val="center"/>
          </w:tcPr>
          <w:p w14:paraId="11D57228">
            <w:pPr>
              <w:pStyle w:val="9"/>
              <w:spacing w:before="98" w:line="186" w:lineRule="auto"/>
              <w:ind w:left="625"/>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12</w:t>
            </w:r>
          </w:p>
        </w:tc>
        <w:tc>
          <w:tcPr>
            <w:tcW w:w="6928" w:type="dxa"/>
            <w:vAlign w:val="center"/>
          </w:tcPr>
          <w:p w14:paraId="1CFB45DE">
            <w:pPr>
              <w:pStyle w:val="9"/>
              <w:spacing w:before="286" w:line="225" w:lineRule="auto"/>
              <w:ind w:left="2847"/>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人工接管</w:t>
            </w:r>
          </w:p>
        </w:tc>
      </w:tr>
    </w:tbl>
    <w:p w14:paraId="6B03E8F1">
      <w:pPr>
        <w:pStyle w:val="2"/>
        <w:rPr>
          <w:spacing w:val="0"/>
        </w:rPr>
      </w:pPr>
    </w:p>
    <w:p w14:paraId="64BFFA4A">
      <w:pPr>
        <w:rPr>
          <w:spacing w:val="0"/>
        </w:rPr>
        <w:sectPr>
          <w:footerReference r:id="rId5" w:type="default"/>
          <w:pgSz w:w="11907" w:h="16839"/>
          <w:pgMar w:top="1431" w:right="1670" w:bottom="1375" w:left="1405" w:header="0" w:footer="1211" w:gutter="0"/>
          <w:pgNumType w:fmt="decimal"/>
          <w:cols w:space="720" w:num="1"/>
        </w:sectPr>
      </w:pPr>
    </w:p>
    <w:p w14:paraId="3FC9DC6F">
      <w:pPr>
        <w:bidi w:val="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附件3</w:t>
      </w:r>
      <w:r>
        <w:rPr>
          <w:rFonts w:hint="eastAsia" w:ascii="仿宋_GB2312" w:hAnsi="仿宋_GB2312" w:eastAsia="仿宋_GB2312" w:cs="仿宋_GB2312"/>
          <w:spacing w:val="0"/>
          <w:sz w:val="32"/>
          <w:szCs w:val="32"/>
          <w:lang w:eastAsia="zh-CN"/>
        </w:rPr>
        <w:t>：</w:t>
      </w:r>
    </w:p>
    <w:p w14:paraId="617CC58E">
      <w:pPr>
        <w:pStyle w:val="2"/>
        <w:spacing w:line="268" w:lineRule="auto"/>
        <w:rPr>
          <w:spacing w:val="0"/>
        </w:rPr>
      </w:pPr>
    </w:p>
    <w:p w14:paraId="3449B5B4">
      <w:pPr>
        <w:spacing w:before="98" w:line="438" w:lineRule="auto"/>
        <w:ind w:left="982" w:firstLine="4676"/>
        <w:jc w:val="center"/>
        <w:rPr>
          <w:rFonts w:ascii="仿宋" w:hAnsi="仿宋" w:eastAsia="仿宋" w:cs="仿宋"/>
          <w:spacing w:val="0"/>
          <w:sz w:val="30"/>
          <w:szCs w:val="30"/>
        </w:rPr>
      </w:pPr>
      <w:r>
        <w:rPr>
          <w:rFonts w:ascii="仿宋" w:hAnsi="仿宋" w:eastAsia="仿宋" w:cs="仿宋"/>
          <w:b/>
          <w:bCs/>
          <w:spacing w:val="0"/>
          <w:sz w:val="30"/>
          <w:szCs w:val="30"/>
        </w:rPr>
        <w:t>20XX年第XXX</w:t>
      </w:r>
      <w:r>
        <w:rPr>
          <w:rFonts w:ascii="仿宋" w:hAnsi="仿宋" w:eastAsia="仿宋" w:cs="仿宋"/>
          <w:spacing w:val="0"/>
          <w:sz w:val="30"/>
          <w:szCs w:val="30"/>
        </w:rPr>
        <w:t>号</w:t>
      </w:r>
    </w:p>
    <w:p w14:paraId="105DB134">
      <w:pPr>
        <w:bidi w:val="0"/>
        <w:jc w:val="center"/>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eastAsia="zh-CN"/>
        </w:rPr>
        <w:t>共青</w:t>
      </w:r>
      <w:r>
        <w:rPr>
          <w:rFonts w:hint="eastAsia" w:ascii="方正小标宋简体" w:hAnsi="方正小标宋简体" w:eastAsia="方正小标宋简体" w:cs="方正小标宋简体"/>
          <w:spacing w:val="0"/>
          <w:sz w:val="44"/>
          <w:szCs w:val="44"/>
          <w:lang w:val="en-US" w:eastAsia="zh-CN"/>
        </w:rPr>
        <w:t>城</w:t>
      </w:r>
      <w:r>
        <w:rPr>
          <w:rFonts w:hint="eastAsia" w:ascii="方正小标宋简体" w:hAnsi="方正小标宋简体" w:eastAsia="方正小标宋简体" w:cs="方正小标宋简体"/>
          <w:spacing w:val="0"/>
          <w:sz w:val="44"/>
          <w:szCs w:val="44"/>
          <w:lang w:eastAsia="zh-CN"/>
        </w:rPr>
        <w:t>市</w:t>
      </w:r>
      <w:r>
        <w:rPr>
          <w:rFonts w:hint="eastAsia" w:ascii="方正小标宋简体" w:hAnsi="方正小标宋简体" w:eastAsia="方正小标宋简体" w:cs="方正小标宋简体"/>
          <w:spacing w:val="0"/>
          <w:sz w:val="44"/>
          <w:szCs w:val="44"/>
        </w:rPr>
        <w:t>无人驾驶装备道路测试通知书</w:t>
      </w:r>
    </w:p>
    <w:p w14:paraId="05C18769">
      <w:pPr>
        <w:pStyle w:val="2"/>
        <w:spacing w:line="243" w:lineRule="auto"/>
        <w:rPr>
          <w:spacing w:val="0"/>
        </w:rPr>
      </w:pPr>
    </w:p>
    <w:p w14:paraId="04AE0345">
      <w:pPr>
        <w:spacing w:before="100" w:line="222" w:lineRule="auto"/>
        <w:ind w:left="420"/>
        <w:rPr>
          <w:rFonts w:hint="eastAsia" w:ascii="仿宋_GB2312" w:hAnsi="仿宋_GB2312" w:eastAsia="仿宋_GB2312" w:cs="仿宋_GB2312"/>
          <w:spacing w:val="0"/>
          <w:sz w:val="32"/>
          <w:szCs w:val="32"/>
        </w:rPr>
      </w:pPr>
    </w:p>
    <w:p w14:paraId="3A6C0D3D">
      <w:pPr>
        <w:spacing w:before="100" w:line="222" w:lineRule="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（道路测试主体名称）：</w:t>
      </w:r>
    </w:p>
    <w:p w14:paraId="55B1A2C0">
      <w:pPr>
        <w:spacing w:before="188" w:line="222"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经联合审核,批准你单位</w:t>
      </w:r>
      <w:r>
        <w:rPr>
          <w:rFonts w:hint="eastAsia" w:ascii="仿宋_GB2312" w:hAnsi="仿宋_GB2312" w:eastAsia="仿宋_GB2312" w:cs="仿宋_GB2312"/>
          <w:spacing w:val="0"/>
          <w:sz w:val="32"/>
          <w:szCs w:val="32"/>
          <w:lang w:val="en-US" w:eastAsia="zh-CN"/>
        </w:rPr>
        <w:t>开展</w:t>
      </w:r>
      <w:r>
        <w:rPr>
          <w:rFonts w:hint="eastAsia" w:ascii="仿宋_GB2312" w:hAnsi="仿宋_GB2312" w:eastAsia="仿宋_GB2312" w:cs="仿宋_GB2312"/>
          <w:spacing w:val="0"/>
          <w:sz w:val="32"/>
          <w:szCs w:val="32"/>
        </w:rPr>
        <w:t>无人驾驶装备道路测试。</w:t>
      </w:r>
    </w:p>
    <w:p w14:paraId="0A597809">
      <w:pPr>
        <w:spacing w:before="187" w:line="327" w:lineRule="auto"/>
        <w:ind w:right="2"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请你单位按照提交的《无人驾驶装备</w:t>
      </w:r>
      <w:r>
        <w:rPr>
          <w:rFonts w:hint="eastAsia" w:ascii="仿宋_GB2312" w:hAnsi="仿宋_GB2312" w:eastAsia="仿宋_GB2312" w:cs="仿宋_GB2312"/>
          <w:spacing w:val="0"/>
          <w:sz w:val="32"/>
          <w:szCs w:val="32"/>
          <w:lang w:val="en-US" w:eastAsia="zh-CN"/>
        </w:rPr>
        <w:t>道路测试</w:t>
      </w:r>
      <w:r>
        <w:rPr>
          <w:rFonts w:hint="eastAsia" w:ascii="仿宋_GB2312" w:hAnsi="仿宋_GB2312" w:eastAsia="仿宋_GB2312" w:cs="仿宋_GB2312"/>
          <w:spacing w:val="0"/>
          <w:sz w:val="32"/>
          <w:szCs w:val="32"/>
        </w:rPr>
        <w:t>安全性自我声明》的内容开展测试，测试期间应严格遵守《</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无人驾驶装备示范运营管理办法</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试行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》及道路交通安全法律法规的有关要求，并为安全有序开展道路测试活动提供必要的保障。</w:t>
      </w:r>
    </w:p>
    <w:p w14:paraId="4CC10E59">
      <w:pPr>
        <w:pStyle w:val="2"/>
        <w:spacing w:line="266" w:lineRule="auto"/>
        <w:rPr>
          <w:rFonts w:hint="eastAsia" w:ascii="仿宋_GB2312" w:hAnsi="仿宋_GB2312" w:eastAsia="仿宋_GB2312" w:cs="仿宋_GB2312"/>
          <w:spacing w:val="0"/>
          <w:sz w:val="32"/>
          <w:szCs w:val="32"/>
        </w:rPr>
      </w:pPr>
    </w:p>
    <w:p w14:paraId="6B1C899F">
      <w:pPr>
        <w:pStyle w:val="2"/>
        <w:spacing w:line="266" w:lineRule="auto"/>
        <w:rPr>
          <w:rFonts w:hint="eastAsia" w:ascii="仿宋_GB2312" w:hAnsi="仿宋_GB2312" w:eastAsia="仿宋_GB2312" w:cs="仿宋_GB2312"/>
          <w:spacing w:val="0"/>
          <w:sz w:val="32"/>
          <w:szCs w:val="32"/>
        </w:rPr>
      </w:pPr>
    </w:p>
    <w:p w14:paraId="50428884">
      <w:pPr>
        <w:pStyle w:val="2"/>
        <w:spacing w:line="267" w:lineRule="auto"/>
        <w:rPr>
          <w:rFonts w:hint="eastAsia" w:ascii="仿宋_GB2312" w:hAnsi="仿宋_GB2312" w:eastAsia="仿宋_GB2312" w:cs="仿宋_GB2312"/>
          <w:spacing w:val="0"/>
          <w:sz w:val="32"/>
          <w:szCs w:val="32"/>
        </w:rPr>
      </w:pPr>
    </w:p>
    <w:p w14:paraId="7750726A">
      <w:pPr>
        <w:keepNext w:val="0"/>
        <w:keepLines w:val="0"/>
        <w:pageBreakBefore w:val="0"/>
        <w:widowControl w:val="0"/>
        <w:kinsoku/>
        <w:wordWrap/>
        <w:overflowPunct/>
        <w:topLinePunct w:val="0"/>
        <w:autoSpaceDE/>
        <w:autoSpaceDN/>
        <w:bidi w:val="0"/>
        <w:adjustRightInd/>
        <w:snapToGrid/>
        <w:spacing w:line="560" w:lineRule="exact"/>
        <w:ind w:left="0" w:right="0" w:hanging="32"/>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智能网联汽车道路测</w:t>
      </w:r>
    </w:p>
    <w:p w14:paraId="52398FD3">
      <w:pPr>
        <w:keepNext w:val="0"/>
        <w:keepLines w:val="0"/>
        <w:pageBreakBefore w:val="0"/>
        <w:widowControl w:val="0"/>
        <w:kinsoku/>
        <w:wordWrap/>
        <w:overflowPunct/>
        <w:topLinePunct w:val="0"/>
        <w:autoSpaceDE/>
        <w:autoSpaceDN/>
        <w:bidi w:val="0"/>
        <w:adjustRightInd/>
        <w:snapToGrid/>
        <w:spacing w:line="560" w:lineRule="exact"/>
        <w:ind w:left="0" w:right="0"/>
        <w:jc w:val="righ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试与示范应用管理联席工作小组</w:t>
      </w:r>
    </w:p>
    <w:p w14:paraId="4EF5813A">
      <w:pPr>
        <w:pStyle w:val="2"/>
        <w:spacing w:line="319" w:lineRule="auto"/>
        <w:jc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日</w:t>
      </w:r>
    </w:p>
    <w:p w14:paraId="0E6AAADB">
      <w:pPr>
        <w:pStyle w:val="2"/>
        <w:spacing w:line="320" w:lineRule="auto"/>
        <w:rPr>
          <w:rFonts w:hint="eastAsia" w:ascii="仿宋_GB2312" w:hAnsi="仿宋_GB2312" w:eastAsia="仿宋_GB2312" w:cs="仿宋_GB2312"/>
          <w:spacing w:val="0"/>
          <w:sz w:val="32"/>
          <w:szCs w:val="32"/>
        </w:rPr>
      </w:pPr>
    </w:p>
    <w:p w14:paraId="3CCACECA">
      <w:pPr>
        <w:pStyle w:val="2"/>
        <w:spacing w:line="320" w:lineRule="auto"/>
        <w:rPr>
          <w:rFonts w:hint="eastAsia" w:ascii="仿宋_GB2312" w:hAnsi="仿宋_GB2312" w:eastAsia="仿宋_GB2312" w:cs="仿宋_GB2312"/>
          <w:spacing w:val="0"/>
          <w:sz w:val="32"/>
          <w:szCs w:val="32"/>
        </w:rPr>
      </w:pPr>
    </w:p>
    <w:p w14:paraId="608E9E1F">
      <w:pPr>
        <w:pStyle w:val="2"/>
        <w:spacing w:line="320" w:lineRule="auto"/>
        <w:rPr>
          <w:rFonts w:hint="eastAsia" w:ascii="仿宋_GB2312" w:hAnsi="仿宋_GB2312" w:eastAsia="仿宋_GB2312" w:cs="仿宋_GB2312"/>
          <w:spacing w:val="0"/>
          <w:sz w:val="32"/>
          <w:szCs w:val="32"/>
        </w:rPr>
      </w:pPr>
    </w:p>
    <w:p w14:paraId="2231F3E7">
      <w:pPr>
        <w:pStyle w:val="2"/>
        <w:spacing w:line="320" w:lineRule="auto"/>
        <w:rPr>
          <w:rFonts w:hint="eastAsia" w:ascii="仿宋_GB2312" w:hAnsi="仿宋_GB2312" w:eastAsia="仿宋_GB2312" w:cs="仿宋_GB2312"/>
          <w:spacing w:val="0"/>
          <w:sz w:val="32"/>
          <w:szCs w:val="32"/>
        </w:rPr>
      </w:pPr>
    </w:p>
    <w:p w14:paraId="272AA0C8">
      <w:pPr>
        <w:spacing w:before="102" w:line="318" w:lineRule="auto"/>
        <w:ind w:left="414" w:right="9" w:firstLine="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注：你单位可持本通知书及《机动车登记规定》所要求的证明、凭证前往</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公安</w:t>
      </w:r>
      <w:r>
        <w:rPr>
          <w:rFonts w:hint="eastAsia" w:ascii="仿宋_GB2312" w:hAnsi="仿宋_GB2312" w:eastAsia="仿宋_GB2312" w:cs="仿宋_GB2312"/>
          <w:spacing w:val="0"/>
          <w:sz w:val="32"/>
          <w:szCs w:val="32"/>
          <w:lang w:eastAsia="zh-CN"/>
        </w:rPr>
        <w:t>局交通管理大队</w:t>
      </w:r>
      <w:r>
        <w:rPr>
          <w:rFonts w:hint="eastAsia" w:ascii="仿宋_GB2312" w:hAnsi="仿宋_GB2312" w:eastAsia="仿宋_GB2312" w:cs="仿宋_GB2312"/>
          <w:spacing w:val="0"/>
          <w:sz w:val="32"/>
          <w:szCs w:val="32"/>
        </w:rPr>
        <w:t>申领</w:t>
      </w:r>
      <w:r>
        <w:rPr>
          <w:rFonts w:hint="eastAsia" w:ascii="仿宋_GB2312" w:hAnsi="仿宋_GB2312" w:eastAsia="仿宋_GB2312" w:cs="仿宋_GB2312"/>
          <w:spacing w:val="0"/>
          <w:sz w:val="32"/>
          <w:szCs w:val="32"/>
          <w:lang w:val="en-US" w:eastAsia="zh-CN"/>
        </w:rPr>
        <w:t>测试</w:t>
      </w:r>
      <w:r>
        <w:rPr>
          <w:rFonts w:hint="eastAsia" w:ascii="仿宋_GB2312" w:hAnsi="仿宋_GB2312" w:eastAsia="仿宋_GB2312" w:cs="仿宋_GB2312"/>
          <w:spacing w:val="0"/>
          <w:sz w:val="32"/>
          <w:szCs w:val="32"/>
        </w:rPr>
        <w:t>号牌。</w:t>
      </w:r>
    </w:p>
    <w:p w14:paraId="46C0CBE9">
      <w:pPr>
        <w:spacing w:line="318" w:lineRule="auto"/>
        <w:rPr>
          <w:rFonts w:hint="eastAsia" w:ascii="仿宋_GB2312" w:hAnsi="仿宋_GB2312" w:eastAsia="仿宋_GB2312" w:cs="仿宋_GB2312"/>
          <w:spacing w:val="0"/>
          <w:sz w:val="32"/>
          <w:szCs w:val="32"/>
        </w:rPr>
        <w:sectPr>
          <w:footerReference r:id="rId6" w:type="default"/>
          <w:pgSz w:w="11907" w:h="16839"/>
          <w:pgMar w:top="1431" w:right="1711" w:bottom="1375" w:left="1405" w:header="0" w:footer="1211" w:gutter="0"/>
          <w:pgNumType w:fmt="decimal"/>
          <w:cols w:space="720" w:num="1"/>
        </w:sectPr>
      </w:pPr>
    </w:p>
    <w:p w14:paraId="16E60C30">
      <w:pPr>
        <w:bidi w:val="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附件4</w:t>
      </w:r>
      <w:r>
        <w:rPr>
          <w:rFonts w:hint="eastAsia" w:ascii="仿宋_GB2312" w:hAnsi="仿宋_GB2312" w:eastAsia="仿宋_GB2312" w:cs="仿宋_GB2312"/>
          <w:spacing w:val="0"/>
          <w:sz w:val="32"/>
          <w:szCs w:val="32"/>
          <w:lang w:eastAsia="zh-CN"/>
        </w:rPr>
        <w:t>：</w:t>
      </w:r>
    </w:p>
    <w:p w14:paraId="533C8B85">
      <w:pPr>
        <w:spacing w:before="169" w:line="218" w:lineRule="auto"/>
        <w:rPr>
          <w:rFonts w:hint="eastAsia" w:ascii="黑体" w:hAnsi="黑体" w:eastAsia="黑体" w:cs="黑体"/>
          <w:spacing w:val="0"/>
          <w:sz w:val="32"/>
          <w:szCs w:val="32"/>
          <w:lang w:eastAsia="zh-CN"/>
        </w:rPr>
      </w:pPr>
    </w:p>
    <w:p w14:paraId="6B1702B1">
      <w:pPr>
        <w:pStyle w:val="2"/>
        <w:spacing w:line="349" w:lineRule="auto"/>
        <w:rPr>
          <w:spacing w:val="0"/>
        </w:rPr>
      </w:pPr>
    </w:p>
    <w:p w14:paraId="794D4ED3">
      <w:pPr>
        <w:bidi w:val="0"/>
        <w:jc w:val="center"/>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无人驾驶装备道路测试安全性自我声明</w:t>
      </w:r>
    </w:p>
    <w:p w14:paraId="751AB6D6">
      <w:pPr>
        <w:pStyle w:val="2"/>
        <w:spacing w:line="264" w:lineRule="auto"/>
        <w:rPr>
          <w:spacing w:val="0"/>
        </w:rPr>
      </w:pPr>
    </w:p>
    <w:p w14:paraId="7A1E6E99">
      <w:pPr>
        <w:pStyle w:val="2"/>
        <w:spacing w:line="264" w:lineRule="auto"/>
        <w:rPr>
          <w:spacing w:val="0"/>
        </w:rPr>
      </w:pPr>
    </w:p>
    <w:p w14:paraId="373F9F72">
      <w:pPr>
        <w:pStyle w:val="2"/>
        <w:spacing w:line="265" w:lineRule="auto"/>
        <w:rPr>
          <w:spacing w:val="0"/>
        </w:rPr>
      </w:pPr>
    </w:p>
    <w:p w14:paraId="1A269E3C">
      <w:pPr>
        <w:spacing w:before="101" w:line="328" w:lineRule="auto"/>
        <w:ind w:left="414" w:firstLine="674"/>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本单位（道路测试主体名称）因业务需要，于</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开展无人驾驶装备道路测试，在测试期间将严格按照《无人驾驶装备道路测试基本信息》（见背面）的内容，遵守《</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无人驾驶装备示范运营管理办法》及道路交通安全法律法规的有关要求,并为安全有序开展道路测试活动提供必要的保障。</w:t>
      </w:r>
    </w:p>
    <w:p w14:paraId="382CC4C0">
      <w:pPr>
        <w:pStyle w:val="2"/>
        <w:spacing w:line="256" w:lineRule="auto"/>
        <w:rPr>
          <w:rFonts w:hint="eastAsia" w:ascii="仿宋_GB2312" w:hAnsi="仿宋_GB2312" w:eastAsia="仿宋_GB2312" w:cs="仿宋_GB2312"/>
          <w:spacing w:val="0"/>
          <w:sz w:val="32"/>
          <w:szCs w:val="32"/>
        </w:rPr>
      </w:pPr>
    </w:p>
    <w:p w14:paraId="418B8047">
      <w:pPr>
        <w:pStyle w:val="2"/>
        <w:spacing w:line="256" w:lineRule="auto"/>
        <w:rPr>
          <w:rFonts w:hint="eastAsia" w:ascii="仿宋_GB2312" w:hAnsi="仿宋_GB2312" w:eastAsia="仿宋_GB2312" w:cs="仿宋_GB2312"/>
          <w:spacing w:val="0"/>
          <w:sz w:val="32"/>
          <w:szCs w:val="32"/>
        </w:rPr>
      </w:pPr>
    </w:p>
    <w:p w14:paraId="0E39AE14">
      <w:pPr>
        <w:pStyle w:val="2"/>
        <w:spacing w:line="257" w:lineRule="auto"/>
        <w:rPr>
          <w:rFonts w:hint="eastAsia" w:ascii="仿宋_GB2312" w:hAnsi="仿宋_GB2312" w:eastAsia="仿宋_GB2312" w:cs="仿宋_GB2312"/>
          <w:spacing w:val="0"/>
          <w:sz w:val="32"/>
          <w:szCs w:val="32"/>
        </w:rPr>
      </w:pPr>
    </w:p>
    <w:p w14:paraId="185EAAD6">
      <w:pPr>
        <w:pStyle w:val="2"/>
        <w:spacing w:line="257" w:lineRule="auto"/>
        <w:rPr>
          <w:rFonts w:hint="eastAsia" w:ascii="仿宋_GB2312" w:hAnsi="仿宋_GB2312" w:eastAsia="仿宋_GB2312" w:cs="仿宋_GB2312"/>
          <w:spacing w:val="0"/>
          <w:sz w:val="32"/>
          <w:szCs w:val="32"/>
        </w:rPr>
      </w:pPr>
    </w:p>
    <w:p w14:paraId="116E596F">
      <w:pPr>
        <w:pStyle w:val="2"/>
        <w:spacing w:line="257" w:lineRule="auto"/>
        <w:rPr>
          <w:rFonts w:hint="eastAsia" w:ascii="仿宋_GB2312" w:hAnsi="仿宋_GB2312" w:eastAsia="仿宋_GB2312" w:cs="仿宋_GB2312"/>
          <w:spacing w:val="0"/>
          <w:sz w:val="32"/>
          <w:szCs w:val="32"/>
        </w:rPr>
      </w:pPr>
    </w:p>
    <w:p w14:paraId="35B014C2">
      <w:pPr>
        <w:pStyle w:val="2"/>
        <w:spacing w:line="257" w:lineRule="auto"/>
        <w:rPr>
          <w:rFonts w:hint="eastAsia" w:ascii="仿宋_GB2312" w:hAnsi="仿宋_GB2312" w:eastAsia="仿宋_GB2312" w:cs="仿宋_GB2312"/>
          <w:spacing w:val="0"/>
          <w:sz w:val="32"/>
          <w:szCs w:val="32"/>
        </w:rPr>
      </w:pPr>
    </w:p>
    <w:p w14:paraId="52B63519">
      <w:pPr>
        <w:pStyle w:val="2"/>
        <w:spacing w:line="257" w:lineRule="auto"/>
        <w:rPr>
          <w:rFonts w:hint="eastAsia" w:ascii="仿宋_GB2312" w:hAnsi="仿宋_GB2312" w:eastAsia="仿宋_GB2312" w:cs="仿宋_GB2312"/>
          <w:spacing w:val="0"/>
          <w:sz w:val="32"/>
          <w:szCs w:val="32"/>
        </w:rPr>
      </w:pPr>
    </w:p>
    <w:p w14:paraId="5B51DB18">
      <w:pPr>
        <w:pStyle w:val="2"/>
        <w:spacing w:line="257" w:lineRule="auto"/>
        <w:rPr>
          <w:rFonts w:hint="eastAsia" w:ascii="仿宋_GB2312" w:hAnsi="仿宋_GB2312" w:eastAsia="仿宋_GB2312" w:cs="仿宋_GB2312"/>
          <w:spacing w:val="0"/>
          <w:sz w:val="32"/>
          <w:szCs w:val="32"/>
        </w:rPr>
      </w:pPr>
    </w:p>
    <w:p w14:paraId="112AE02F">
      <w:pPr>
        <w:pStyle w:val="2"/>
        <w:spacing w:line="257" w:lineRule="auto"/>
        <w:rPr>
          <w:rFonts w:hint="eastAsia" w:ascii="仿宋_GB2312" w:hAnsi="仿宋_GB2312" w:eastAsia="仿宋_GB2312" w:cs="仿宋_GB2312"/>
          <w:spacing w:val="0"/>
          <w:sz w:val="32"/>
          <w:szCs w:val="32"/>
        </w:rPr>
      </w:pPr>
    </w:p>
    <w:p w14:paraId="2BE2FE02">
      <w:pPr>
        <w:pStyle w:val="2"/>
        <w:spacing w:line="257" w:lineRule="auto"/>
        <w:rPr>
          <w:rFonts w:hint="eastAsia" w:ascii="仿宋_GB2312" w:hAnsi="仿宋_GB2312" w:eastAsia="仿宋_GB2312" w:cs="仿宋_GB2312"/>
          <w:spacing w:val="0"/>
          <w:sz w:val="32"/>
          <w:szCs w:val="32"/>
        </w:rPr>
      </w:pPr>
    </w:p>
    <w:p w14:paraId="181351A2">
      <w:pPr>
        <w:spacing w:before="101" w:line="318" w:lineRule="auto"/>
        <w:jc w:val="righ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（道路测试主体单位法人签章）</w:t>
      </w:r>
    </w:p>
    <w:p w14:paraId="740A4F8F">
      <w:pPr>
        <w:spacing w:before="101" w:line="318" w:lineRule="auto"/>
        <w:jc w:val="right"/>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日</w:t>
      </w:r>
      <w:r>
        <w:rPr>
          <w:rFonts w:hint="eastAsia" w:ascii="仿宋_GB2312" w:hAnsi="仿宋_GB2312" w:eastAsia="仿宋_GB2312" w:cs="仿宋_GB2312"/>
          <w:spacing w:val="0"/>
          <w:sz w:val="32"/>
          <w:szCs w:val="32"/>
          <w:lang w:val="en-US" w:eastAsia="zh-CN"/>
        </w:rPr>
        <w:t xml:space="preserve"> </w:t>
      </w:r>
    </w:p>
    <w:p w14:paraId="46C51D61">
      <w:pPr>
        <w:spacing w:line="318" w:lineRule="auto"/>
        <w:rPr>
          <w:rFonts w:hint="eastAsia" w:ascii="仿宋_GB2312" w:hAnsi="仿宋_GB2312" w:eastAsia="仿宋_GB2312" w:cs="仿宋_GB2312"/>
          <w:spacing w:val="0"/>
          <w:sz w:val="32"/>
          <w:szCs w:val="32"/>
        </w:rPr>
        <w:sectPr>
          <w:footerReference r:id="rId7" w:type="default"/>
          <w:pgSz w:w="11907" w:h="16839"/>
          <w:pgMar w:top="1431" w:right="1713" w:bottom="1375" w:left="1405" w:header="0" w:footer="1211" w:gutter="0"/>
          <w:pgNumType w:fmt="decimal"/>
          <w:cols w:space="720" w:num="1"/>
        </w:sectPr>
      </w:pPr>
    </w:p>
    <w:p w14:paraId="37FB2A60">
      <w:pPr>
        <w:bidi w:val="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附件4背面</w:t>
      </w:r>
      <w:r>
        <w:rPr>
          <w:rFonts w:hint="eastAsia" w:ascii="仿宋_GB2312" w:hAnsi="仿宋_GB2312" w:eastAsia="仿宋_GB2312" w:cs="仿宋_GB2312"/>
          <w:spacing w:val="0"/>
          <w:sz w:val="32"/>
          <w:szCs w:val="32"/>
          <w:lang w:eastAsia="zh-CN"/>
        </w:rPr>
        <w:t>：</w:t>
      </w:r>
    </w:p>
    <w:p w14:paraId="69EBA23A">
      <w:pPr>
        <w:pStyle w:val="2"/>
        <w:spacing w:line="249" w:lineRule="auto"/>
        <w:rPr>
          <w:spacing w:val="0"/>
        </w:rPr>
      </w:pPr>
    </w:p>
    <w:p w14:paraId="1CAE8BF5">
      <w:pPr>
        <w:bidi w:val="0"/>
        <w:jc w:val="center"/>
        <w:rPr>
          <w:spacing w:val="0"/>
        </w:rPr>
      </w:pPr>
      <w:r>
        <w:rPr>
          <w:rFonts w:hint="eastAsia" w:ascii="方正小标宋简体" w:hAnsi="方正小标宋简体" w:eastAsia="方正小标宋简体" w:cs="方正小标宋简体"/>
          <w:spacing w:val="0"/>
          <w:sz w:val="44"/>
          <w:szCs w:val="44"/>
          <w:lang w:eastAsia="zh-CN"/>
        </w:rPr>
        <w:t>无人驾驶装备道路测试基本信息</w:t>
      </w:r>
    </w:p>
    <w:tbl>
      <w:tblPr>
        <w:tblStyle w:val="8"/>
        <w:tblpPr w:leftFromText="180" w:rightFromText="180" w:vertAnchor="text" w:horzAnchor="page" w:tblpX="1650" w:tblpY="350"/>
        <w:tblOverlap w:val="never"/>
        <w:tblW w:w="90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2"/>
        <w:gridCol w:w="6222"/>
      </w:tblGrid>
      <w:tr w14:paraId="49019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842" w:type="dxa"/>
            <w:vAlign w:val="center"/>
          </w:tcPr>
          <w:p w14:paraId="67E1CAE8">
            <w:pPr>
              <w:keepNext w:val="0"/>
              <w:keepLines w:val="0"/>
              <w:pageBreakBefore w:val="0"/>
              <w:widowControl w:val="0"/>
              <w:kinsoku/>
              <w:wordWrap/>
              <w:overflowPunct/>
              <w:topLinePunct w:val="0"/>
              <w:autoSpaceDE/>
              <w:autoSpaceDN/>
              <w:bidi w:val="0"/>
              <w:adjustRightInd/>
              <w:snapToGrid/>
              <w:spacing w:line="480" w:lineRule="exact"/>
              <w:ind w:right="133"/>
              <w:jc w:val="center"/>
              <w:textAlignment w:val="auto"/>
              <w:rPr>
                <w:rFonts w:ascii="黑体" w:hAnsi="黑体" w:eastAsia="黑体" w:cs="黑体"/>
                <w:spacing w:val="0"/>
                <w:sz w:val="30"/>
                <w:szCs w:val="30"/>
              </w:rPr>
            </w:pPr>
            <w:r>
              <w:rPr>
                <w:rFonts w:ascii="黑体" w:hAnsi="黑体" w:eastAsia="黑体" w:cs="黑体"/>
                <w:spacing w:val="0"/>
                <w:sz w:val="30"/>
                <w:szCs w:val="30"/>
              </w:rPr>
              <w:t>道路测试主体</w:t>
            </w:r>
          </w:p>
        </w:tc>
        <w:tc>
          <w:tcPr>
            <w:tcW w:w="6222" w:type="dxa"/>
            <w:vAlign w:val="center"/>
          </w:tcPr>
          <w:p w14:paraId="7D0EAF9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Arial"/>
                <w:spacing w:val="0"/>
                <w:sz w:val="21"/>
              </w:rPr>
            </w:pPr>
          </w:p>
        </w:tc>
      </w:tr>
      <w:tr w14:paraId="0DCF5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842" w:type="dxa"/>
            <w:vAlign w:val="center"/>
          </w:tcPr>
          <w:p w14:paraId="3714D7AA">
            <w:pPr>
              <w:keepNext w:val="0"/>
              <w:keepLines w:val="0"/>
              <w:pageBreakBefore w:val="0"/>
              <w:widowControl w:val="0"/>
              <w:kinsoku/>
              <w:wordWrap/>
              <w:overflowPunct/>
              <w:topLinePunct w:val="0"/>
              <w:autoSpaceDE/>
              <w:autoSpaceDN/>
              <w:bidi w:val="0"/>
              <w:adjustRightInd/>
              <w:snapToGrid/>
              <w:spacing w:line="480" w:lineRule="exact"/>
              <w:ind w:right="133"/>
              <w:jc w:val="center"/>
              <w:textAlignment w:val="auto"/>
              <w:rPr>
                <w:rFonts w:ascii="黑体" w:hAnsi="黑体" w:eastAsia="黑体" w:cs="黑体"/>
                <w:spacing w:val="0"/>
                <w:sz w:val="30"/>
                <w:szCs w:val="30"/>
              </w:rPr>
            </w:pPr>
            <w:r>
              <w:rPr>
                <w:rFonts w:ascii="黑体" w:hAnsi="黑体" w:eastAsia="黑体" w:cs="黑体"/>
                <w:spacing w:val="0"/>
                <w:sz w:val="30"/>
                <w:szCs w:val="30"/>
              </w:rPr>
              <w:t>道路测试车辆</w:t>
            </w:r>
          </w:p>
        </w:tc>
        <w:tc>
          <w:tcPr>
            <w:tcW w:w="6222" w:type="dxa"/>
            <w:vAlign w:val="center"/>
          </w:tcPr>
          <w:p w14:paraId="1B677BCE">
            <w:pPr>
              <w:pStyle w:val="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（须依次列出对应车辆识别代号或唯一性编码）</w:t>
            </w:r>
          </w:p>
        </w:tc>
      </w:tr>
      <w:tr w14:paraId="6E422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2842" w:type="dxa"/>
            <w:vAlign w:val="center"/>
          </w:tcPr>
          <w:p w14:paraId="5E6E7642">
            <w:pPr>
              <w:keepNext w:val="0"/>
              <w:keepLines w:val="0"/>
              <w:pageBreakBefore w:val="0"/>
              <w:widowControl w:val="0"/>
              <w:kinsoku/>
              <w:wordWrap/>
              <w:overflowPunct/>
              <w:topLinePunct w:val="0"/>
              <w:autoSpaceDE/>
              <w:autoSpaceDN/>
              <w:bidi w:val="0"/>
              <w:adjustRightInd/>
              <w:snapToGrid/>
              <w:spacing w:line="480" w:lineRule="exact"/>
              <w:ind w:right="133"/>
              <w:jc w:val="center"/>
              <w:textAlignment w:val="auto"/>
              <w:rPr>
                <w:rFonts w:ascii="黑体" w:hAnsi="黑体" w:eastAsia="黑体" w:cs="黑体"/>
                <w:spacing w:val="0"/>
                <w:sz w:val="30"/>
                <w:szCs w:val="30"/>
              </w:rPr>
            </w:pPr>
            <w:r>
              <w:rPr>
                <w:rFonts w:hint="eastAsia" w:ascii="黑体" w:hAnsi="黑体" w:eastAsia="黑体" w:cs="黑体"/>
                <w:spacing w:val="0"/>
                <w:sz w:val="30"/>
                <w:szCs w:val="30"/>
                <w:lang w:val="en-US" w:eastAsia="zh-CN"/>
              </w:rPr>
              <w:t xml:space="preserve"> </w:t>
            </w:r>
            <w:r>
              <w:rPr>
                <w:rFonts w:ascii="黑体" w:hAnsi="黑体" w:eastAsia="黑体" w:cs="黑体"/>
                <w:spacing w:val="0"/>
                <w:sz w:val="30"/>
                <w:szCs w:val="30"/>
              </w:rPr>
              <w:t>道路测试安全专员</w:t>
            </w:r>
          </w:p>
        </w:tc>
        <w:tc>
          <w:tcPr>
            <w:tcW w:w="6222" w:type="dxa"/>
            <w:vAlign w:val="center"/>
          </w:tcPr>
          <w:p w14:paraId="29CC8C51">
            <w:pPr>
              <w:pStyle w:val="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（须依次列出安全专员姓名及身份证号）</w:t>
            </w:r>
          </w:p>
        </w:tc>
      </w:tr>
      <w:tr w14:paraId="525CF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2842" w:type="dxa"/>
            <w:vAlign w:val="center"/>
          </w:tcPr>
          <w:p w14:paraId="394B3280">
            <w:pPr>
              <w:keepNext w:val="0"/>
              <w:keepLines w:val="0"/>
              <w:pageBreakBefore w:val="0"/>
              <w:widowControl w:val="0"/>
              <w:kinsoku/>
              <w:wordWrap/>
              <w:overflowPunct/>
              <w:topLinePunct w:val="0"/>
              <w:autoSpaceDE/>
              <w:autoSpaceDN/>
              <w:bidi w:val="0"/>
              <w:adjustRightInd/>
              <w:snapToGrid/>
              <w:spacing w:line="480" w:lineRule="exact"/>
              <w:ind w:right="133"/>
              <w:jc w:val="center"/>
              <w:textAlignment w:val="auto"/>
              <w:rPr>
                <w:rFonts w:ascii="黑体" w:hAnsi="黑体" w:eastAsia="黑体" w:cs="黑体"/>
                <w:spacing w:val="0"/>
                <w:sz w:val="30"/>
                <w:szCs w:val="30"/>
              </w:rPr>
            </w:pPr>
            <w:r>
              <w:rPr>
                <w:rFonts w:ascii="黑体" w:hAnsi="黑体" w:eastAsia="黑体" w:cs="黑体"/>
                <w:spacing w:val="0"/>
                <w:sz w:val="30"/>
                <w:szCs w:val="30"/>
              </w:rPr>
              <w:t>道路测试时间</w:t>
            </w:r>
          </w:p>
        </w:tc>
        <w:tc>
          <w:tcPr>
            <w:tcW w:w="6222" w:type="dxa"/>
            <w:vAlign w:val="center"/>
          </w:tcPr>
          <w:p w14:paraId="310F3323">
            <w:pPr>
              <w:pStyle w:val="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日</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至</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日</w:t>
            </w:r>
          </w:p>
        </w:tc>
      </w:tr>
      <w:tr w14:paraId="77B27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0" w:hRule="atLeast"/>
        </w:trPr>
        <w:tc>
          <w:tcPr>
            <w:tcW w:w="2842" w:type="dxa"/>
            <w:vAlign w:val="center"/>
          </w:tcPr>
          <w:p w14:paraId="1C0C56CE">
            <w:pPr>
              <w:keepNext w:val="0"/>
              <w:keepLines w:val="0"/>
              <w:pageBreakBefore w:val="0"/>
              <w:widowControl w:val="0"/>
              <w:kinsoku/>
              <w:wordWrap/>
              <w:overflowPunct/>
              <w:topLinePunct w:val="0"/>
              <w:autoSpaceDE/>
              <w:autoSpaceDN/>
              <w:bidi w:val="0"/>
              <w:adjustRightInd/>
              <w:snapToGrid/>
              <w:spacing w:line="480" w:lineRule="exact"/>
              <w:ind w:right="133"/>
              <w:jc w:val="center"/>
              <w:textAlignment w:val="auto"/>
              <w:rPr>
                <w:rFonts w:ascii="黑体" w:hAnsi="黑体" w:eastAsia="黑体" w:cs="黑体"/>
                <w:spacing w:val="0"/>
                <w:sz w:val="30"/>
                <w:szCs w:val="30"/>
              </w:rPr>
            </w:pPr>
            <w:r>
              <w:rPr>
                <w:rFonts w:ascii="黑体" w:hAnsi="黑体" w:eastAsia="黑体" w:cs="黑体"/>
                <w:spacing w:val="0"/>
                <w:sz w:val="30"/>
                <w:szCs w:val="30"/>
              </w:rPr>
              <w:t>测试路段或区域</w:t>
            </w:r>
          </w:p>
        </w:tc>
        <w:tc>
          <w:tcPr>
            <w:tcW w:w="6222" w:type="dxa"/>
            <w:vAlign w:val="center"/>
          </w:tcPr>
          <w:p w14:paraId="2A5B6C4A">
            <w:pPr>
              <w:pStyle w:val="9"/>
              <w:keepNext w:val="0"/>
              <w:keepLines w:val="0"/>
              <w:pageBreakBefore w:val="0"/>
              <w:widowControl w:val="0"/>
              <w:kinsoku/>
              <w:wordWrap/>
              <w:overflowPunct/>
              <w:topLinePunct w:val="0"/>
              <w:autoSpaceDE/>
              <w:autoSpaceDN/>
              <w:bidi w:val="0"/>
              <w:adjustRightInd/>
              <w:snapToGrid/>
              <w:spacing w:line="480" w:lineRule="exact"/>
              <w:ind w:right="181"/>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（须依次列出，测试路段或区域名称与省、市级政府相关主管部门公布的一致）</w:t>
            </w:r>
          </w:p>
        </w:tc>
      </w:tr>
      <w:tr w14:paraId="67542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2842" w:type="dxa"/>
            <w:vAlign w:val="center"/>
          </w:tcPr>
          <w:p w14:paraId="4CEE2A17">
            <w:pPr>
              <w:keepNext w:val="0"/>
              <w:keepLines w:val="0"/>
              <w:pageBreakBefore w:val="0"/>
              <w:widowControl w:val="0"/>
              <w:kinsoku/>
              <w:wordWrap/>
              <w:overflowPunct/>
              <w:topLinePunct w:val="0"/>
              <w:autoSpaceDE/>
              <w:autoSpaceDN/>
              <w:bidi w:val="0"/>
              <w:adjustRightInd/>
              <w:snapToGrid/>
              <w:spacing w:line="480" w:lineRule="exact"/>
              <w:ind w:right="133"/>
              <w:jc w:val="center"/>
              <w:textAlignment w:val="auto"/>
              <w:rPr>
                <w:rFonts w:ascii="黑体" w:hAnsi="黑体" w:eastAsia="黑体" w:cs="黑体"/>
                <w:spacing w:val="0"/>
                <w:sz w:val="30"/>
                <w:szCs w:val="30"/>
              </w:rPr>
            </w:pPr>
            <w:r>
              <w:rPr>
                <w:rFonts w:ascii="黑体" w:hAnsi="黑体" w:eastAsia="黑体" w:cs="黑体"/>
                <w:spacing w:val="0"/>
                <w:sz w:val="30"/>
                <w:szCs w:val="30"/>
              </w:rPr>
              <w:t>转场路段</w:t>
            </w:r>
          </w:p>
        </w:tc>
        <w:tc>
          <w:tcPr>
            <w:tcW w:w="6222" w:type="dxa"/>
            <w:vAlign w:val="center"/>
          </w:tcPr>
          <w:p w14:paraId="6B28F467">
            <w:pPr>
              <w:pStyle w:val="9"/>
              <w:keepNext w:val="0"/>
              <w:keepLines w:val="0"/>
              <w:pageBreakBefore w:val="0"/>
              <w:widowControl w:val="0"/>
              <w:kinsoku/>
              <w:wordWrap/>
              <w:overflowPunct/>
              <w:topLinePunct w:val="0"/>
              <w:autoSpaceDE/>
              <w:autoSpaceDN/>
              <w:bidi w:val="0"/>
              <w:adjustRightInd/>
              <w:snapToGrid/>
              <w:spacing w:line="480" w:lineRule="exact"/>
              <w:ind w:right="14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（须列出车辆在自动驾驶测试路段间进行转场的路段）</w:t>
            </w:r>
          </w:p>
        </w:tc>
      </w:tr>
      <w:tr w14:paraId="594EB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trPr>
        <w:tc>
          <w:tcPr>
            <w:tcW w:w="2842" w:type="dxa"/>
            <w:vAlign w:val="center"/>
          </w:tcPr>
          <w:p w14:paraId="39060E97">
            <w:pPr>
              <w:keepNext w:val="0"/>
              <w:keepLines w:val="0"/>
              <w:pageBreakBefore w:val="0"/>
              <w:widowControl w:val="0"/>
              <w:kinsoku/>
              <w:wordWrap/>
              <w:overflowPunct/>
              <w:topLinePunct w:val="0"/>
              <w:autoSpaceDE/>
              <w:autoSpaceDN/>
              <w:bidi w:val="0"/>
              <w:adjustRightInd/>
              <w:snapToGrid/>
              <w:spacing w:line="480" w:lineRule="exact"/>
              <w:ind w:right="133"/>
              <w:jc w:val="center"/>
              <w:textAlignment w:val="auto"/>
              <w:rPr>
                <w:rFonts w:ascii="黑体" w:hAnsi="黑体" w:eastAsia="黑体" w:cs="黑体"/>
                <w:spacing w:val="0"/>
                <w:sz w:val="30"/>
                <w:szCs w:val="30"/>
              </w:rPr>
            </w:pPr>
            <w:r>
              <w:rPr>
                <w:rFonts w:ascii="黑体" w:hAnsi="黑体" w:eastAsia="黑体" w:cs="黑体"/>
                <w:spacing w:val="0"/>
                <w:sz w:val="30"/>
                <w:szCs w:val="30"/>
              </w:rPr>
              <w:t>道路测试项目</w:t>
            </w:r>
          </w:p>
        </w:tc>
        <w:tc>
          <w:tcPr>
            <w:tcW w:w="6222" w:type="dxa"/>
            <w:vAlign w:val="center"/>
          </w:tcPr>
          <w:p w14:paraId="082C01CB">
            <w:pPr>
              <w:pStyle w:val="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（须依次列出）</w:t>
            </w:r>
          </w:p>
        </w:tc>
      </w:tr>
    </w:tbl>
    <w:p w14:paraId="1776F1E3">
      <w:pPr>
        <w:keepNext w:val="0"/>
        <w:keepLines w:val="0"/>
        <w:pageBreakBefore w:val="0"/>
        <w:widowControl w:val="0"/>
        <w:kinsoku/>
        <w:wordWrap/>
        <w:overflowPunct/>
        <w:topLinePunct w:val="0"/>
        <w:autoSpaceDE/>
        <w:autoSpaceDN/>
        <w:bidi w:val="0"/>
        <w:adjustRightInd/>
        <w:snapToGrid/>
        <w:spacing w:line="480" w:lineRule="exact"/>
        <w:textAlignment w:val="auto"/>
        <w:rPr>
          <w:spacing w:val="0"/>
        </w:rPr>
        <w:sectPr>
          <w:footerReference r:id="rId8" w:type="default"/>
          <w:pgSz w:w="11907" w:h="16839"/>
          <w:pgMar w:top="1431" w:right="1041" w:bottom="1375" w:left="1405" w:header="0" w:footer="1211" w:gutter="0"/>
          <w:pgNumType w:fmt="decimal"/>
          <w:cols w:space="720" w:num="1"/>
        </w:sectPr>
      </w:pPr>
    </w:p>
    <w:p w14:paraId="2B282AB7">
      <w:pPr>
        <w:bidi w:val="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附件5</w:t>
      </w:r>
      <w:r>
        <w:rPr>
          <w:rFonts w:hint="eastAsia" w:ascii="仿宋_GB2312" w:hAnsi="仿宋_GB2312" w:eastAsia="仿宋_GB2312" w:cs="仿宋_GB2312"/>
          <w:spacing w:val="0"/>
          <w:sz w:val="32"/>
          <w:szCs w:val="32"/>
          <w:lang w:eastAsia="zh-CN"/>
        </w:rPr>
        <w:t>：</w:t>
      </w:r>
    </w:p>
    <w:p w14:paraId="37A2876D">
      <w:pPr>
        <w:spacing w:before="263" w:line="224" w:lineRule="auto"/>
        <w:ind w:left="5939"/>
        <w:rPr>
          <w:rFonts w:ascii="仿宋" w:hAnsi="仿宋" w:eastAsia="仿宋" w:cs="仿宋"/>
          <w:spacing w:val="0"/>
          <w:sz w:val="30"/>
          <w:szCs w:val="30"/>
        </w:rPr>
      </w:pPr>
      <w:r>
        <w:rPr>
          <w:rFonts w:ascii="仿宋" w:hAnsi="仿宋" w:eastAsia="仿宋" w:cs="仿宋"/>
          <w:b/>
          <w:bCs/>
          <w:spacing w:val="0"/>
          <w:sz w:val="30"/>
          <w:szCs w:val="30"/>
        </w:rPr>
        <w:t>20XX年第XXX号</w:t>
      </w:r>
    </w:p>
    <w:p w14:paraId="5438EA46">
      <w:pPr>
        <w:pStyle w:val="2"/>
        <w:spacing w:line="272" w:lineRule="auto"/>
        <w:rPr>
          <w:spacing w:val="0"/>
        </w:rPr>
      </w:pPr>
    </w:p>
    <w:p w14:paraId="749EF89A">
      <w:pPr>
        <w:pStyle w:val="2"/>
        <w:spacing w:line="273" w:lineRule="auto"/>
        <w:rPr>
          <w:spacing w:val="0"/>
        </w:rPr>
      </w:pPr>
    </w:p>
    <w:p w14:paraId="1D9F8398">
      <w:pPr>
        <w:bidi w:val="0"/>
        <w:jc w:val="center"/>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共青城市智能网联汽车示范运营通知书</w:t>
      </w:r>
    </w:p>
    <w:p w14:paraId="53CB19A3">
      <w:pPr>
        <w:pStyle w:val="2"/>
        <w:spacing w:line="262" w:lineRule="auto"/>
        <w:rPr>
          <w:spacing w:val="0"/>
        </w:rPr>
      </w:pPr>
    </w:p>
    <w:p w14:paraId="62C6D07A">
      <w:pPr>
        <w:pStyle w:val="2"/>
        <w:spacing w:line="263" w:lineRule="auto"/>
        <w:rPr>
          <w:spacing w:val="0"/>
        </w:rPr>
      </w:pPr>
    </w:p>
    <w:p w14:paraId="0FCD568D">
      <w:pPr>
        <w:pStyle w:val="2"/>
        <w:spacing w:line="263" w:lineRule="auto"/>
        <w:rPr>
          <w:spacing w:val="0"/>
        </w:rPr>
      </w:pPr>
    </w:p>
    <w:p w14:paraId="1B25BD1D">
      <w:pPr>
        <w:keepNext w:val="0"/>
        <w:keepLines w:val="0"/>
        <w:pageBreakBefore w:val="0"/>
        <w:widowControl w:val="0"/>
        <w:tabs>
          <w:tab w:val="left" w:pos="720"/>
        </w:tabs>
        <w:kinsoku/>
        <w:wordWrap/>
        <w:overflowPunct/>
        <w:topLinePunct w:val="0"/>
        <w:autoSpaceDE/>
        <w:autoSpaceDN/>
        <w:bidi w:val="0"/>
        <w:adjustRightInd/>
        <w:snapToGrid/>
        <w:spacing w:before="100" w:line="560" w:lineRule="exact"/>
        <w:ind w:left="394"/>
        <w:textAlignment w:val="auto"/>
        <w:rPr>
          <w:rFonts w:hint="eastAsia" w:ascii="仿宋_GB2312" w:hAnsi="仿宋_GB2312" w:eastAsia="仿宋_GB2312" w:cs="仿宋_GB2312"/>
          <w:spacing w:val="0"/>
          <w:sz w:val="32"/>
          <w:szCs w:val="32"/>
        </w:rPr>
      </w:pPr>
      <w:r>
        <w:rPr>
          <w:rFonts w:ascii="仿宋" w:hAnsi="仿宋" w:eastAsia="仿宋" w:cs="仿宋"/>
          <w:spacing w:val="0"/>
          <w:sz w:val="31"/>
          <w:szCs w:val="31"/>
          <w:u w:val="single" w:color="auto"/>
        </w:rPr>
        <w:tab/>
      </w:r>
      <w:r>
        <w:rPr>
          <w:rFonts w:hint="eastAsia" w:ascii="仿宋_GB2312" w:hAnsi="仿宋_GB2312" w:eastAsia="仿宋_GB2312" w:cs="仿宋_GB2312"/>
          <w:spacing w:val="0"/>
          <w:sz w:val="32"/>
          <w:szCs w:val="32"/>
          <w:u w:val="single" w:color="auto"/>
        </w:rPr>
        <w:t>（示范运营主体名称）</w:t>
      </w:r>
      <w:r>
        <w:rPr>
          <w:rFonts w:hint="eastAsia" w:ascii="仿宋_GB2312" w:hAnsi="仿宋_GB2312" w:eastAsia="仿宋_GB2312" w:cs="仿宋_GB2312"/>
          <w:spacing w:val="0"/>
          <w:sz w:val="32"/>
          <w:szCs w:val="32"/>
        </w:rPr>
        <w:t>：</w:t>
      </w:r>
    </w:p>
    <w:p w14:paraId="63EDC443">
      <w:pPr>
        <w:keepNext w:val="0"/>
        <w:keepLines w:val="0"/>
        <w:pageBreakBefore w:val="0"/>
        <w:widowControl w:val="0"/>
        <w:kinsoku/>
        <w:wordWrap/>
        <w:overflowPunct/>
        <w:topLinePunct w:val="0"/>
        <w:autoSpaceDE/>
        <w:autoSpaceDN/>
        <w:bidi w:val="0"/>
        <w:adjustRightInd/>
        <w:snapToGrid/>
        <w:spacing w:before="188" w:line="560" w:lineRule="exact"/>
        <w:jc w:val="righ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经联合审核，批准你单位开展智能网联汽车示范运营。</w:t>
      </w:r>
    </w:p>
    <w:p w14:paraId="1A15E4BF">
      <w:pPr>
        <w:keepNext w:val="0"/>
        <w:keepLines w:val="0"/>
        <w:pageBreakBefore w:val="0"/>
        <w:widowControl w:val="0"/>
        <w:kinsoku/>
        <w:wordWrap/>
        <w:overflowPunct/>
        <w:topLinePunct w:val="0"/>
        <w:autoSpaceDE/>
        <w:autoSpaceDN/>
        <w:bidi w:val="0"/>
        <w:adjustRightInd/>
        <w:snapToGrid/>
        <w:spacing w:before="190" w:line="560" w:lineRule="exact"/>
        <w:ind w:right="117"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请你单位按照提交的《无人驾驶装备示范运营安全性自我声明》的内容开展</w:t>
      </w:r>
      <w:r>
        <w:rPr>
          <w:rFonts w:hint="eastAsia" w:ascii="仿宋_GB2312" w:hAnsi="仿宋_GB2312" w:eastAsia="仿宋_GB2312" w:cs="仿宋_GB2312"/>
          <w:spacing w:val="0"/>
          <w:sz w:val="32"/>
          <w:szCs w:val="32"/>
          <w:lang w:val="en-US" w:eastAsia="zh-CN"/>
        </w:rPr>
        <w:t>示范运营</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示范运营</w:t>
      </w:r>
      <w:r>
        <w:rPr>
          <w:rFonts w:hint="eastAsia" w:ascii="仿宋_GB2312" w:hAnsi="仿宋_GB2312" w:eastAsia="仿宋_GB2312" w:cs="仿宋_GB2312"/>
          <w:spacing w:val="0"/>
          <w:sz w:val="32"/>
          <w:szCs w:val="32"/>
        </w:rPr>
        <w:t>期间应严格遵守《</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无人驾驶装备示范运营管理办法</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试行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》及道路交通安全法律法规的有关要求，并为安全有序开展示范运营活动提供必要的保障。</w:t>
      </w:r>
    </w:p>
    <w:p w14:paraId="154E819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3AD0753E">
      <w:pPr>
        <w:keepNext w:val="0"/>
        <w:keepLines w:val="0"/>
        <w:pageBreakBefore w:val="0"/>
        <w:widowControl w:val="0"/>
        <w:kinsoku/>
        <w:wordWrap/>
        <w:overflowPunct/>
        <w:topLinePunct w:val="0"/>
        <w:autoSpaceDE/>
        <w:autoSpaceDN/>
        <w:bidi w:val="0"/>
        <w:adjustRightInd/>
        <w:snapToGrid/>
        <w:spacing w:line="560" w:lineRule="exact"/>
        <w:ind w:left="0" w:right="0" w:hanging="32"/>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智能网联汽车道路测</w:t>
      </w:r>
    </w:p>
    <w:p w14:paraId="24AAF3DA">
      <w:pPr>
        <w:keepNext w:val="0"/>
        <w:keepLines w:val="0"/>
        <w:pageBreakBefore w:val="0"/>
        <w:widowControl w:val="0"/>
        <w:kinsoku/>
        <w:wordWrap/>
        <w:overflowPunct/>
        <w:topLinePunct w:val="0"/>
        <w:autoSpaceDE/>
        <w:autoSpaceDN/>
        <w:bidi w:val="0"/>
        <w:adjustRightInd/>
        <w:snapToGrid/>
        <w:spacing w:line="560" w:lineRule="exact"/>
        <w:ind w:left="0" w:right="0"/>
        <w:jc w:val="righ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试与示范应用管理联席工作小组</w:t>
      </w:r>
    </w:p>
    <w:p w14:paraId="28C4EEC5">
      <w:pPr>
        <w:keepNext w:val="0"/>
        <w:keepLines w:val="0"/>
        <w:pageBreakBefore w:val="0"/>
        <w:widowControl w:val="0"/>
        <w:kinsoku/>
        <w:wordWrap/>
        <w:overflowPunct/>
        <w:topLinePunct w:val="0"/>
        <w:autoSpaceDE/>
        <w:autoSpaceDN/>
        <w:bidi w:val="0"/>
        <w:adjustRightInd/>
        <w:snapToGrid/>
        <w:spacing w:before="101" w:line="560" w:lineRule="exact"/>
        <w:ind w:left="5772"/>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日</w:t>
      </w:r>
    </w:p>
    <w:p w14:paraId="61D3797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38DC3408">
      <w:pPr>
        <w:keepNext w:val="0"/>
        <w:keepLines w:val="0"/>
        <w:pageBreakBefore w:val="0"/>
        <w:widowControl w:val="0"/>
        <w:kinsoku/>
        <w:wordWrap/>
        <w:overflowPunct/>
        <w:topLinePunct w:val="0"/>
        <w:autoSpaceDE/>
        <w:autoSpaceDN/>
        <w:bidi w:val="0"/>
        <w:adjustRightInd/>
        <w:snapToGrid/>
        <w:spacing w:before="98" w:line="560" w:lineRule="exact"/>
        <w:ind w:left="428" w:right="161" w:hanging="5"/>
        <w:textAlignment w:val="auto"/>
        <w:rPr>
          <w:rFonts w:hint="eastAsia" w:ascii="仿宋_GB2312" w:hAnsi="仿宋_GB2312" w:eastAsia="仿宋_GB2312" w:cs="仿宋_GB2312"/>
          <w:spacing w:val="0"/>
          <w:sz w:val="32"/>
          <w:szCs w:val="32"/>
        </w:rPr>
      </w:pPr>
    </w:p>
    <w:p w14:paraId="02564ECB">
      <w:pPr>
        <w:keepNext w:val="0"/>
        <w:keepLines w:val="0"/>
        <w:pageBreakBefore w:val="0"/>
        <w:widowControl w:val="0"/>
        <w:kinsoku/>
        <w:wordWrap/>
        <w:overflowPunct/>
        <w:topLinePunct w:val="0"/>
        <w:autoSpaceDE/>
        <w:autoSpaceDN/>
        <w:bidi w:val="0"/>
        <w:adjustRightInd/>
        <w:snapToGrid/>
        <w:spacing w:before="98" w:line="560" w:lineRule="exact"/>
        <w:ind w:left="428" w:right="161" w:hanging="5"/>
        <w:textAlignment w:val="auto"/>
        <w:rPr>
          <w:rFonts w:hint="eastAsia" w:ascii="仿宋_GB2312" w:hAnsi="仿宋_GB2312" w:eastAsia="仿宋_GB2312" w:cs="仿宋_GB2312"/>
          <w:spacing w:val="0"/>
          <w:sz w:val="32"/>
          <w:szCs w:val="32"/>
        </w:rPr>
      </w:pPr>
    </w:p>
    <w:p w14:paraId="3305CC7C">
      <w:pPr>
        <w:keepNext w:val="0"/>
        <w:keepLines w:val="0"/>
        <w:pageBreakBefore w:val="0"/>
        <w:widowControl w:val="0"/>
        <w:kinsoku/>
        <w:wordWrap/>
        <w:overflowPunct/>
        <w:topLinePunct w:val="0"/>
        <w:autoSpaceDE/>
        <w:autoSpaceDN/>
        <w:bidi w:val="0"/>
        <w:adjustRightInd/>
        <w:snapToGrid/>
        <w:spacing w:before="98" w:line="560" w:lineRule="exact"/>
        <w:ind w:left="428" w:right="161" w:hanging="5"/>
        <w:textAlignment w:val="auto"/>
        <w:rPr>
          <w:rFonts w:hint="eastAsia" w:ascii="仿宋_GB2312" w:hAnsi="仿宋_GB2312" w:eastAsia="仿宋_GB2312" w:cs="仿宋_GB2312"/>
          <w:spacing w:val="0"/>
          <w:sz w:val="32"/>
          <w:szCs w:val="32"/>
        </w:rPr>
      </w:pPr>
    </w:p>
    <w:p w14:paraId="5CFA7BAD">
      <w:pPr>
        <w:keepNext w:val="0"/>
        <w:keepLines w:val="0"/>
        <w:pageBreakBefore w:val="0"/>
        <w:widowControl w:val="0"/>
        <w:kinsoku/>
        <w:wordWrap/>
        <w:overflowPunct/>
        <w:topLinePunct w:val="0"/>
        <w:autoSpaceDE/>
        <w:autoSpaceDN/>
        <w:bidi w:val="0"/>
        <w:adjustRightInd/>
        <w:snapToGrid/>
        <w:spacing w:before="98" w:line="560" w:lineRule="exact"/>
        <w:ind w:left="428" w:right="161" w:hanging="5"/>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注：你单位可持本通知书及《机动车登记规定》所要求的证明、凭证前往</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公安</w:t>
      </w:r>
      <w:r>
        <w:rPr>
          <w:rFonts w:hint="eastAsia" w:ascii="仿宋_GB2312" w:hAnsi="仿宋_GB2312" w:eastAsia="仿宋_GB2312" w:cs="仿宋_GB2312"/>
          <w:spacing w:val="0"/>
          <w:sz w:val="32"/>
          <w:szCs w:val="32"/>
          <w:lang w:eastAsia="zh-CN"/>
        </w:rPr>
        <w:t>局交通管理</w:t>
      </w:r>
      <w:r>
        <w:rPr>
          <w:rFonts w:hint="eastAsia" w:ascii="仿宋_GB2312" w:hAnsi="仿宋_GB2312" w:eastAsia="仿宋_GB2312" w:cs="仿宋_GB2312"/>
          <w:spacing w:val="0"/>
          <w:sz w:val="32"/>
          <w:szCs w:val="32"/>
        </w:rPr>
        <w:t>大队申领号牌。</w:t>
      </w:r>
    </w:p>
    <w:p w14:paraId="2A3C97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sectPr>
          <w:footerReference r:id="rId9" w:type="default"/>
          <w:pgSz w:w="11907" w:h="16839"/>
          <w:pgMar w:top="1431" w:right="1595" w:bottom="1375" w:left="1405" w:header="0" w:footer="1211" w:gutter="0"/>
          <w:pgNumType w:fmt="decimal"/>
          <w:cols w:space="720" w:num="1"/>
        </w:sectPr>
      </w:pPr>
    </w:p>
    <w:p w14:paraId="20299204">
      <w:pPr>
        <w:bidi w:val="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附件6</w:t>
      </w:r>
      <w:r>
        <w:rPr>
          <w:rFonts w:hint="eastAsia" w:ascii="仿宋_GB2312" w:hAnsi="仿宋_GB2312" w:eastAsia="仿宋_GB2312" w:cs="仿宋_GB2312"/>
          <w:spacing w:val="0"/>
          <w:sz w:val="32"/>
          <w:szCs w:val="32"/>
          <w:lang w:eastAsia="zh-CN"/>
        </w:rPr>
        <w:t>：</w:t>
      </w:r>
    </w:p>
    <w:p w14:paraId="754C1100">
      <w:pPr>
        <w:pStyle w:val="2"/>
        <w:spacing w:line="304" w:lineRule="auto"/>
        <w:rPr>
          <w:spacing w:val="0"/>
        </w:rPr>
      </w:pPr>
    </w:p>
    <w:p w14:paraId="66645E56">
      <w:pPr>
        <w:pStyle w:val="2"/>
        <w:spacing w:line="305" w:lineRule="auto"/>
        <w:rPr>
          <w:spacing w:val="0"/>
        </w:rPr>
      </w:pPr>
    </w:p>
    <w:p w14:paraId="3E1192E6">
      <w:pPr>
        <w:bidi w:val="0"/>
        <w:jc w:val="center"/>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无人驾驶装备示范运营安全性自我声明</w:t>
      </w:r>
    </w:p>
    <w:p w14:paraId="747D55D9">
      <w:pPr>
        <w:pStyle w:val="2"/>
        <w:spacing w:line="263" w:lineRule="auto"/>
        <w:rPr>
          <w:spacing w:val="0"/>
        </w:rPr>
      </w:pPr>
    </w:p>
    <w:p w14:paraId="6120E5A9">
      <w:pPr>
        <w:pStyle w:val="2"/>
        <w:spacing w:line="264" w:lineRule="auto"/>
        <w:rPr>
          <w:spacing w:val="0"/>
        </w:rPr>
      </w:pPr>
    </w:p>
    <w:p w14:paraId="46E42F24">
      <w:pPr>
        <w:keepNext w:val="0"/>
        <w:keepLines w:val="0"/>
        <w:pageBreakBefore w:val="0"/>
        <w:widowControl w:val="0"/>
        <w:kinsoku/>
        <w:wordWrap/>
        <w:overflowPunct/>
        <w:topLinePunct w:val="0"/>
        <w:autoSpaceDE/>
        <w:autoSpaceDN/>
        <w:bidi w:val="0"/>
        <w:adjustRightInd/>
        <w:snapToGrid/>
        <w:spacing w:before="98" w:line="560" w:lineRule="exact"/>
        <w:ind w:left="416" w:right="132" w:firstLine="619"/>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本单位(申请主体名称)因业务需要，于</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开展无人驾驶装备示范运营，在示范运营期间将严格按照《无人驾驶装备示范运营基本信息》(见背面)的内容，遵守《</w:t>
      </w:r>
      <w:r>
        <w:rPr>
          <w:rFonts w:hint="eastAsia" w:ascii="仿宋_GB2312" w:hAnsi="仿宋_GB2312" w:eastAsia="仿宋_GB2312" w:cs="仿宋_GB2312"/>
          <w:spacing w:val="0"/>
          <w:sz w:val="32"/>
          <w:szCs w:val="32"/>
          <w:lang w:eastAsia="zh-CN"/>
        </w:rPr>
        <w:t>共青城市</w:t>
      </w:r>
      <w:r>
        <w:rPr>
          <w:rFonts w:hint="eastAsia" w:ascii="仿宋_GB2312" w:hAnsi="仿宋_GB2312" w:eastAsia="仿宋_GB2312" w:cs="仿宋_GB2312"/>
          <w:spacing w:val="0"/>
          <w:sz w:val="32"/>
          <w:szCs w:val="32"/>
        </w:rPr>
        <w:t>无人驾驶装备示范运营管理办法(试行)》及道路交通安全法律法规的有关要求，为示范运营安全负责，并为安全有序开展示范运营活动提供必要的保障。(申请主体单位法人签章)</w:t>
      </w:r>
    </w:p>
    <w:p w14:paraId="085AE7D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55680A8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1C6899A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6318701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3C518B79">
      <w:pPr>
        <w:keepNext w:val="0"/>
        <w:keepLines w:val="0"/>
        <w:pageBreakBefore w:val="0"/>
        <w:widowControl w:val="0"/>
        <w:kinsoku/>
        <w:wordWrap/>
        <w:overflowPunct/>
        <w:topLinePunct w:val="0"/>
        <w:autoSpaceDE/>
        <w:autoSpaceDN/>
        <w:bidi w:val="0"/>
        <w:adjustRightInd/>
        <w:snapToGrid/>
        <w:spacing w:before="98" w:line="560" w:lineRule="exact"/>
        <w:jc w:val="righ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(申请主体单位法人签章)</w:t>
      </w:r>
    </w:p>
    <w:p w14:paraId="030234C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49B020C3">
      <w:pPr>
        <w:keepNext w:val="0"/>
        <w:keepLines w:val="0"/>
        <w:pageBreakBefore w:val="0"/>
        <w:widowControl w:val="0"/>
        <w:kinsoku/>
        <w:wordWrap w:val="0"/>
        <w:overflowPunct/>
        <w:topLinePunct w:val="0"/>
        <w:autoSpaceDE/>
        <w:autoSpaceDN/>
        <w:bidi w:val="0"/>
        <w:adjustRightInd/>
        <w:snapToGrid/>
        <w:spacing w:before="98" w:line="560" w:lineRule="exact"/>
        <w:ind w:right="18"/>
        <w:jc w:val="right"/>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日</w:t>
      </w:r>
      <w:r>
        <w:rPr>
          <w:rFonts w:hint="eastAsia" w:ascii="仿宋_GB2312" w:hAnsi="仿宋_GB2312" w:eastAsia="仿宋_GB2312" w:cs="仿宋_GB2312"/>
          <w:spacing w:val="0"/>
          <w:sz w:val="32"/>
          <w:szCs w:val="32"/>
          <w:lang w:val="en-US" w:eastAsia="zh-CN"/>
        </w:rPr>
        <w:t xml:space="preserve">    </w:t>
      </w:r>
    </w:p>
    <w:p w14:paraId="639744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sectPr>
          <w:footerReference r:id="rId10" w:type="default"/>
          <w:pgSz w:w="11907" w:h="16839"/>
          <w:pgMar w:top="1431" w:right="1602" w:bottom="1375" w:left="1405" w:header="0" w:footer="1211" w:gutter="0"/>
          <w:pgNumType w:fmt="decimal"/>
          <w:cols w:space="720" w:num="1"/>
        </w:sectPr>
      </w:pPr>
    </w:p>
    <w:p w14:paraId="360F065E">
      <w:pPr>
        <w:bidi w:val="0"/>
        <w:jc w:val="both"/>
        <w:rPr>
          <w:spacing w:val="0"/>
        </w:rPr>
      </w:pPr>
      <w:r>
        <w:rPr>
          <w:rFonts w:hint="eastAsia" w:ascii="仿宋_GB2312" w:hAnsi="仿宋_GB2312" w:eastAsia="仿宋_GB2312" w:cs="仿宋_GB2312"/>
          <w:spacing w:val="0"/>
          <w:sz w:val="32"/>
          <w:szCs w:val="32"/>
        </w:rPr>
        <w:t>附件6背面</w:t>
      </w:r>
      <w:r>
        <w:rPr>
          <w:rFonts w:hint="eastAsia" w:ascii="仿宋_GB2312" w:hAnsi="仿宋_GB2312" w:eastAsia="仿宋_GB2312" w:cs="仿宋_GB2312"/>
          <w:spacing w:val="0"/>
          <w:sz w:val="32"/>
          <w:szCs w:val="32"/>
          <w:lang w:eastAsia="zh-CN"/>
        </w:rPr>
        <w:t>：</w:t>
      </w:r>
    </w:p>
    <w:p w14:paraId="0C2C9040">
      <w:pPr>
        <w:bidi w:val="0"/>
        <w:jc w:val="center"/>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无人驾驶装备示范运营基本信息</w:t>
      </w:r>
    </w:p>
    <w:tbl>
      <w:tblPr>
        <w:tblStyle w:val="8"/>
        <w:tblpPr w:leftFromText="180" w:rightFromText="180" w:vertAnchor="text" w:horzAnchor="page" w:tblpX="1597" w:tblpY="303"/>
        <w:tblOverlap w:val="never"/>
        <w:tblW w:w="92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0"/>
        <w:gridCol w:w="6780"/>
      </w:tblGrid>
      <w:tr w14:paraId="300DA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2460" w:type="dxa"/>
            <w:vAlign w:val="center"/>
          </w:tcPr>
          <w:p w14:paraId="2C67947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hAnsi="黑体" w:eastAsia="黑体" w:cs="黑体"/>
                <w:spacing w:val="0"/>
                <w:sz w:val="30"/>
                <w:szCs w:val="30"/>
              </w:rPr>
            </w:pPr>
            <w:r>
              <w:rPr>
                <w:rFonts w:ascii="黑体" w:hAnsi="黑体" w:eastAsia="黑体" w:cs="黑体"/>
                <w:spacing w:val="0"/>
                <w:sz w:val="30"/>
                <w:szCs w:val="30"/>
              </w:rPr>
              <w:t>示范运营主体</w:t>
            </w:r>
          </w:p>
        </w:tc>
        <w:tc>
          <w:tcPr>
            <w:tcW w:w="6780" w:type="dxa"/>
            <w:vAlign w:val="center"/>
          </w:tcPr>
          <w:p w14:paraId="765805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Arial"/>
                <w:spacing w:val="0"/>
                <w:sz w:val="21"/>
              </w:rPr>
            </w:pPr>
          </w:p>
        </w:tc>
      </w:tr>
      <w:tr w14:paraId="60521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2460" w:type="dxa"/>
            <w:vAlign w:val="center"/>
          </w:tcPr>
          <w:p w14:paraId="0145507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hAnsi="黑体" w:eastAsia="黑体" w:cs="黑体"/>
                <w:spacing w:val="0"/>
                <w:sz w:val="30"/>
                <w:szCs w:val="30"/>
              </w:rPr>
            </w:pPr>
            <w:r>
              <w:rPr>
                <w:rFonts w:ascii="黑体" w:hAnsi="黑体" w:eastAsia="黑体" w:cs="黑体"/>
                <w:spacing w:val="0"/>
                <w:sz w:val="30"/>
                <w:szCs w:val="30"/>
              </w:rPr>
              <w:t>示范运营车辆</w:t>
            </w:r>
          </w:p>
        </w:tc>
        <w:tc>
          <w:tcPr>
            <w:tcW w:w="6780" w:type="dxa"/>
            <w:vAlign w:val="center"/>
          </w:tcPr>
          <w:p w14:paraId="641E0911">
            <w:pPr>
              <w:pStyle w:val="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（须依次列出对应车辆识别代号或唯一性编码）</w:t>
            </w:r>
          </w:p>
        </w:tc>
      </w:tr>
      <w:tr w14:paraId="1030B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2460" w:type="dxa"/>
            <w:vAlign w:val="center"/>
          </w:tcPr>
          <w:p w14:paraId="7AFB4EE7">
            <w:pPr>
              <w:keepNext w:val="0"/>
              <w:keepLines w:val="0"/>
              <w:pageBreakBefore w:val="0"/>
              <w:widowControl w:val="0"/>
              <w:kinsoku/>
              <w:wordWrap/>
              <w:overflowPunct/>
              <w:topLinePunct w:val="0"/>
              <w:autoSpaceDE/>
              <w:autoSpaceDN/>
              <w:bidi w:val="0"/>
              <w:adjustRightInd/>
              <w:snapToGrid/>
              <w:spacing w:line="480" w:lineRule="exact"/>
              <w:ind w:right="133"/>
              <w:jc w:val="center"/>
              <w:textAlignment w:val="auto"/>
              <w:rPr>
                <w:rFonts w:ascii="黑体" w:hAnsi="黑体" w:eastAsia="黑体" w:cs="黑体"/>
                <w:spacing w:val="0"/>
                <w:sz w:val="30"/>
                <w:szCs w:val="30"/>
              </w:rPr>
            </w:pPr>
            <w:r>
              <w:rPr>
                <w:rFonts w:ascii="黑体" w:hAnsi="黑体" w:eastAsia="黑体" w:cs="黑体"/>
                <w:spacing w:val="0"/>
                <w:sz w:val="30"/>
                <w:szCs w:val="30"/>
              </w:rPr>
              <w:t>示范运营安全专员</w:t>
            </w:r>
          </w:p>
        </w:tc>
        <w:tc>
          <w:tcPr>
            <w:tcW w:w="6780" w:type="dxa"/>
            <w:vAlign w:val="center"/>
          </w:tcPr>
          <w:p w14:paraId="6FB82B28">
            <w:pPr>
              <w:pStyle w:val="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（须依次列出安全专员姓名及身份证号）</w:t>
            </w:r>
          </w:p>
        </w:tc>
      </w:tr>
      <w:tr w14:paraId="30F02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2460" w:type="dxa"/>
            <w:vAlign w:val="center"/>
          </w:tcPr>
          <w:p w14:paraId="497C407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hAnsi="黑体" w:eastAsia="黑体" w:cs="黑体"/>
                <w:spacing w:val="0"/>
                <w:sz w:val="30"/>
                <w:szCs w:val="30"/>
              </w:rPr>
            </w:pPr>
            <w:r>
              <w:rPr>
                <w:rFonts w:ascii="黑体" w:hAnsi="黑体" w:eastAsia="黑体" w:cs="黑体"/>
                <w:spacing w:val="0"/>
                <w:sz w:val="30"/>
                <w:szCs w:val="30"/>
              </w:rPr>
              <w:t>示范运营时间</w:t>
            </w:r>
          </w:p>
        </w:tc>
        <w:tc>
          <w:tcPr>
            <w:tcW w:w="6780" w:type="dxa"/>
            <w:vAlign w:val="center"/>
          </w:tcPr>
          <w:p w14:paraId="342D1512">
            <w:pPr>
              <w:pStyle w:val="9"/>
              <w:keepNext w:val="0"/>
              <w:keepLines w:val="0"/>
              <w:pageBreakBefore w:val="0"/>
              <w:widowControl w:val="0"/>
              <w:tabs>
                <w:tab w:val="left" w:pos="1301"/>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日</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至</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日</w:t>
            </w:r>
          </w:p>
        </w:tc>
      </w:tr>
      <w:tr w14:paraId="258F9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2460" w:type="dxa"/>
            <w:vAlign w:val="center"/>
          </w:tcPr>
          <w:p w14:paraId="130B594E">
            <w:pPr>
              <w:keepNext w:val="0"/>
              <w:keepLines w:val="0"/>
              <w:pageBreakBefore w:val="0"/>
              <w:widowControl w:val="0"/>
              <w:kinsoku/>
              <w:wordWrap/>
              <w:overflowPunct/>
              <w:topLinePunct w:val="0"/>
              <w:autoSpaceDE/>
              <w:autoSpaceDN/>
              <w:bidi w:val="0"/>
              <w:adjustRightInd/>
              <w:snapToGrid/>
              <w:spacing w:line="480" w:lineRule="exact"/>
              <w:ind w:right="133"/>
              <w:jc w:val="center"/>
              <w:textAlignment w:val="auto"/>
              <w:rPr>
                <w:rFonts w:ascii="黑体" w:hAnsi="黑体" w:eastAsia="黑体" w:cs="黑体"/>
                <w:spacing w:val="0"/>
                <w:sz w:val="30"/>
                <w:szCs w:val="30"/>
              </w:rPr>
            </w:pPr>
            <w:r>
              <w:rPr>
                <w:rFonts w:ascii="黑体" w:hAnsi="黑体" w:eastAsia="黑体" w:cs="黑体"/>
                <w:spacing w:val="0"/>
                <w:sz w:val="30"/>
                <w:szCs w:val="30"/>
              </w:rPr>
              <w:t>示范运营路段或区域</w:t>
            </w:r>
          </w:p>
        </w:tc>
        <w:tc>
          <w:tcPr>
            <w:tcW w:w="6780" w:type="dxa"/>
            <w:vAlign w:val="center"/>
          </w:tcPr>
          <w:p w14:paraId="5627E209">
            <w:pPr>
              <w:pStyle w:val="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（须依次列出，示范应用路段或区域名称与省、市级政府相关主管部门公布的一致）</w:t>
            </w:r>
          </w:p>
        </w:tc>
      </w:tr>
      <w:tr w14:paraId="60D7F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3" w:hRule="atLeast"/>
        </w:trPr>
        <w:tc>
          <w:tcPr>
            <w:tcW w:w="2460" w:type="dxa"/>
            <w:vAlign w:val="center"/>
          </w:tcPr>
          <w:p w14:paraId="4FFC5B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hAnsi="黑体" w:eastAsia="黑体" w:cs="黑体"/>
                <w:spacing w:val="0"/>
                <w:sz w:val="30"/>
                <w:szCs w:val="30"/>
              </w:rPr>
            </w:pPr>
            <w:r>
              <w:rPr>
                <w:rFonts w:ascii="黑体" w:hAnsi="黑体" w:eastAsia="黑体" w:cs="黑体"/>
                <w:spacing w:val="0"/>
                <w:sz w:val="30"/>
                <w:szCs w:val="30"/>
              </w:rPr>
              <w:t>转场路段</w:t>
            </w:r>
          </w:p>
        </w:tc>
        <w:tc>
          <w:tcPr>
            <w:tcW w:w="6780" w:type="dxa"/>
            <w:vAlign w:val="center"/>
          </w:tcPr>
          <w:p w14:paraId="6429073E">
            <w:pPr>
              <w:pStyle w:val="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（须列出车辆在示范应用路段或区域间进行转场的路段）</w:t>
            </w:r>
          </w:p>
        </w:tc>
      </w:tr>
      <w:tr w14:paraId="1AE9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trPr>
        <w:tc>
          <w:tcPr>
            <w:tcW w:w="2460" w:type="dxa"/>
            <w:vAlign w:val="center"/>
          </w:tcPr>
          <w:p w14:paraId="4AFAC0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hAnsi="黑体" w:eastAsia="黑体" w:cs="黑体"/>
                <w:spacing w:val="0"/>
                <w:sz w:val="30"/>
                <w:szCs w:val="30"/>
              </w:rPr>
            </w:pPr>
            <w:r>
              <w:rPr>
                <w:rFonts w:ascii="黑体" w:hAnsi="黑体" w:eastAsia="黑体" w:cs="黑体"/>
                <w:spacing w:val="0"/>
                <w:sz w:val="30"/>
                <w:szCs w:val="30"/>
              </w:rPr>
              <w:t>示范运营项目</w:t>
            </w:r>
          </w:p>
        </w:tc>
        <w:tc>
          <w:tcPr>
            <w:tcW w:w="6780" w:type="dxa"/>
            <w:vAlign w:val="center"/>
          </w:tcPr>
          <w:p w14:paraId="4233000A">
            <w:pPr>
              <w:pStyle w:val="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（须依次列出）</w:t>
            </w:r>
          </w:p>
        </w:tc>
      </w:tr>
    </w:tbl>
    <w:p w14:paraId="682AF682">
      <w:pPr>
        <w:spacing w:line="62" w:lineRule="exact"/>
        <w:rPr>
          <w:spacing w:val="0"/>
        </w:rPr>
      </w:pPr>
    </w:p>
    <w:p w14:paraId="2065528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宋体"/>
          <w:spacing w:val="0"/>
          <w:lang w:eastAsia="zh-CN"/>
        </w:rPr>
      </w:pPr>
    </w:p>
    <w:p w14:paraId="22661BEC"/>
    <w:sectPr>
      <w:headerReference r:id="rId11" w:type="default"/>
      <w:footerReference r:id="rId12" w:type="default"/>
      <w:footerReference r:id="rId13" w:type="even"/>
      <w:pgSz w:w="11906" w:h="16838"/>
      <w:pgMar w:top="2098" w:right="1588"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3F14">
    <w:pPr>
      <w:spacing w:line="167" w:lineRule="auto"/>
      <w:ind w:left="4141"/>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6B00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36B00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9D27">
    <w:pPr>
      <w:pStyle w:val="3"/>
      <w:ind w:firstLine="280" w:firstLineChars="100"/>
    </w:pPr>
    <w:r>
      <w:rPr>
        <w:sz w:val="28"/>
        <w:szCs w:val="28"/>
      </w:rPr>
      <w:fldChar w:fldCharType="begin"/>
    </w:r>
    <w:r>
      <w:rPr>
        <w:rStyle w:val="7"/>
        <w:sz w:val="28"/>
        <w:szCs w:val="28"/>
      </w:rPr>
      <w:instrText xml:space="preserve"> PAGE </w:instrText>
    </w:r>
    <w:r>
      <w:rPr>
        <w:sz w:val="28"/>
        <w:szCs w:val="28"/>
      </w:rPr>
      <w:fldChar w:fldCharType="separate"/>
    </w:r>
    <w:r>
      <w:rPr>
        <w:rStyle w:val="7"/>
        <w:sz w:val="28"/>
        <w:szCs w:val="28"/>
      </w:rPr>
      <w:t>-2-</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423C4">
    <w:pPr>
      <w:spacing w:line="166" w:lineRule="auto"/>
      <w:ind w:left="4521"/>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DBA4E">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9DBA4E">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DC0E9">
    <w:pPr>
      <w:spacing w:line="167" w:lineRule="auto"/>
      <w:ind w:left="4521"/>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D691F">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99D691F">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9A7DF">
    <w:pPr>
      <w:spacing w:line="167" w:lineRule="auto"/>
      <w:ind w:left="4521"/>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60389">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360389">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B18E6">
    <w:pPr>
      <w:spacing w:line="167" w:lineRule="auto"/>
      <w:ind w:left="4516"/>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46565">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C446565">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526EC">
    <w:pPr>
      <w:spacing w:line="167" w:lineRule="auto"/>
      <w:ind w:left="4516"/>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E84B8">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14E84B8">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63634">
    <w:pPr>
      <w:spacing w:line="167" w:lineRule="auto"/>
      <w:ind w:left="4516"/>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B1593">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2B1593">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5FD1F">
    <w:pPr>
      <w:spacing w:line="167" w:lineRule="auto"/>
      <w:ind w:left="4516"/>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6872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DD6872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688C2">
    <w:pPr>
      <w:pStyle w:val="3"/>
      <w:wordWrap w:val="0"/>
      <w:ind w:firstLine="280" w:firstLineChars="100"/>
      <w:jc w:val="right"/>
      <w:rPr>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661F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36661F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F38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D590F"/>
    <w:rsid w:val="363D590F"/>
    <w:rsid w:val="75895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2025-04-01T08:43:00Z</dcterms:created>
  <dc:creator>暖手宝</dc:creator>
  <cp:lastModifiedBy>暖手宝</cp:lastModifiedBy>
  <dcterms:modified xsi:type="dcterms:W3CDTF">2025-04-01T08:44:13Z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DE1FC59303E64AACAE1E1263BF583131_11</vt:lpwstr>
  </property>
  <property fmtid="{D5CDD505-2E9C-101B-9397-08002B2CF9AE}" pid="4" name="KSOTemplateDocerSaveRecord">
    <vt:lpwstr>eyJoZGlkIjoiMmRjMDkwMzhmZWRkZTcxNWU4NzM5MTE5N2E2OTBmODUiLCJ1c2VySWQiOiI0NTMwMzcxOTQifQ==</vt:lpwstr>
  </property>
</Properties>
</file>