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p>
    <w:p>
      <w:pPr>
        <w:spacing w:line="600" w:lineRule="exact"/>
        <w:jc w:val="center"/>
        <w:rPr>
          <w:rFonts w:hint="eastAsia" w:ascii="宋体" w:hAnsi="宋体" w:cs="宋体"/>
          <w:b/>
          <w:bCs/>
          <w:sz w:val="44"/>
          <w:szCs w:val="36"/>
        </w:rPr>
      </w:pPr>
      <w:bookmarkStart w:id="0" w:name="_GoBack"/>
      <w:r>
        <w:rPr>
          <w:rFonts w:hint="eastAsia" w:ascii="宋体" w:hAnsi="宋体" w:cs="宋体"/>
          <w:b/>
          <w:bCs/>
          <w:sz w:val="44"/>
          <w:szCs w:val="36"/>
        </w:rPr>
        <w:t>共青城市科学技术局2020年度部门决算</w:t>
      </w:r>
    </w:p>
    <w:bookmarkEnd w:id="0"/>
    <w:p>
      <w:pPr>
        <w:spacing w:line="600" w:lineRule="exact"/>
        <w:jc w:val="center"/>
        <w:rPr>
          <w:rFonts w:hint="eastAsia" w:ascii="黑体" w:eastAsia="黑体"/>
          <w:sz w:val="44"/>
          <w:szCs w:val="36"/>
        </w:rPr>
      </w:pPr>
    </w:p>
    <w:p>
      <w:pPr>
        <w:spacing w:line="600" w:lineRule="exact"/>
        <w:jc w:val="center"/>
        <w:rPr>
          <w:rFonts w:hint="eastAsia" w:ascii="宋体" w:hAnsi="宋体" w:cs="宋体"/>
          <w:b/>
          <w:bCs/>
          <w:sz w:val="40"/>
          <w:szCs w:val="36"/>
        </w:rPr>
      </w:pPr>
      <w:r>
        <w:rPr>
          <w:rFonts w:hint="eastAsia" w:ascii="宋体" w:hAnsi="宋体" w:cs="宋体"/>
          <w:b/>
          <w:bCs/>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cs="黑体"/>
          <w:b/>
          <w:sz w:val="32"/>
          <w:szCs w:val="32"/>
        </w:rPr>
      </w:pPr>
      <w:r>
        <w:rPr>
          <w:rFonts w:hint="eastAsia" w:ascii="黑体" w:hAnsi="黑体" w:eastAsia="黑体"/>
          <w:b/>
          <w:sz w:val="32"/>
          <w:szCs w:val="32"/>
        </w:rPr>
        <w:t xml:space="preserve">第一部分  </w:t>
      </w:r>
      <w:r>
        <w:rPr>
          <w:rFonts w:hint="eastAsia" w:ascii="黑体" w:hAnsi="黑体" w:eastAsia="黑体" w:cs="黑体"/>
          <w:b/>
          <w:bCs/>
          <w:color w:val="444444"/>
          <w:sz w:val="32"/>
          <w:szCs w:val="32"/>
        </w:rPr>
        <w:t>共青城市科学技术局概况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sz w:val="32"/>
          <w:szCs w:val="32"/>
        </w:rPr>
        <w:t xml:space="preserve"> </w:t>
      </w:r>
      <w:r>
        <w:rPr>
          <w:rFonts w:hint="eastAsia" w:ascii="黑体" w:hAnsi="黑体" w:eastAsia="黑体" w:cs="黑体"/>
          <w:b/>
          <w:bCs/>
          <w:color w:val="444444"/>
          <w:sz w:val="32"/>
          <w:szCs w:val="32"/>
        </w:rPr>
        <w:t>共青城市科学技术局</w:t>
      </w:r>
      <w:r>
        <w:rPr>
          <w:rFonts w:hint="eastAsia" w:ascii="黑体" w:hAnsi="黑体" w:eastAsia="黑体" w:cs="黑体"/>
          <w:sz w:val="32"/>
          <w:szCs w:val="32"/>
        </w:rPr>
        <w:t>2020年度部门决算表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numPr>
          <w:ilvl w:val="0"/>
          <w:numId w:val="1"/>
        </w:numPr>
        <w:spacing w:line="60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政府性基金预算财政拨款收入支出决算表</w:t>
      </w:r>
    </w:p>
    <w:p>
      <w:pPr>
        <w:widowControl/>
        <w:numPr>
          <w:ilvl w:val="0"/>
          <w:numId w:val="1"/>
        </w:numPr>
        <w:spacing w:line="60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国有资本经营预算财政拨款支出决算表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十、国有资产占用情况表</w:t>
      </w:r>
    </w:p>
    <w:p>
      <w:pPr>
        <w:widowControl/>
        <w:spacing w:line="600" w:lineRule="exact"/>
        <w:jc w:val="left"/>
        <w:rPr>
          <w:rFonts w:hint="eastAsia" w:ascii="黑体" w:hAnsi="黑体" w:eastAsia="黑体" w:cs="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 xml:space="preserve">第三部分 </w:t>
      </w:r>
      <w:r>
        <w:rPr>
          <w:rFonts w:hint="eastAsia" w:ascii="黑体" w:hAnsi="黑体" w:eastAsia="黑体" w:cs="黑体"/>
          <w:b/>
          <w:bCs/>
          <w:color w:val="444444"/>
          <w:sz w:val="32"/>
          <w:szCs w:val="32"/>
        </w:rPr>
        <w:t>共青城市科学技术局</w:t>
      </w:r>
      <w:r>
        <w:rPr>
          <w:rFonts w:hint="eastAsia" w:ascii="黑体" w:hAnsi="黑体" w:eastAsia="黑体" w:cs="黑体"/>
          <w:sz w:val="32"/>
          <w:szCs w:val="32"/>
        </w:rPr>
        <w:t>2020年度部门决算情况说明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黑体" w:hAnsi="黑体" w:eastAsia="黑体" w:cs="黑体"/>
          <w:b/>
          <w:bCs/>
          <w:color w:val="444444"/>
          <w:sz w:val="32"/>
          <w:szCs w:val="32"/>
        </w:rPr>
        <w:t>共青城市科学技术局</w:t>
      </w:r>
      <w:r>
        <w:rPr>
          <w:rFonts w:hint="eastAsia" w:ascii="黑体" w:hAnsi="黑体" w:eastAsia="黑体" w:cs="黑体"/>
          <w:b/>
          <w:sz w:val="32"/>
          <w:szCs w:val="30"/>
        </w:rPr>
        <w:t>概况</w:t>
      </w:r>
    </w:p>
    <w:p>
      <w:pPr>
        <w:ind w:firstLine="630"/>
        <w:jc w:val="center"/>
        <w:rPr>
          <w:rFonts w:hint="eastAsia"/>
          <w:sz w:val="32"/>
          <w:szCs w:val="32"/>
        </w:rPr>
      </w:pPr>
    </w:p>
    <w:p>
      <w:pPr>
        <w:ind w:firstLine="630"/>
        <w:jc w:val="left"/>
        <w:rPr>
          <w:rFonts w:hint="eastAsia" w:ascii="仿宋_GB2312" w:hAnsi="仿宋_GB2312" w:eastAsia="仿宋_GB2312" w:cs="仿宋_GB2312"/>
          <w:color w:val="444444"/>
          <w:sz w:val="32"/>
          <w:szCs w:val="32"/>
        </w:rPr>
      </w:pPr>
      <w:r>
        <w:rPr>
          <w:rFonts w:hint="eastAsia" w:ascii="黑体" w:hAnsi="黑体" w:eastAsia="黑体"/>
          <w:sz w:val="30"/>
          <w:szCs w:val="30"/>
        </w:rPr>
        <w:t>一、部门主要职能</w:t>
      </w:r>
    </w:p>
    <w:p>
      <w:pPr>
        <w:pStyle w:val="14"/>
        <w:tabs>
          <w:tab w:val="left" w:pos="1026"/>
        </w:tabs>
        <w:spacing w:line="600" w:lineRule="exact"/>
        <w:ind w:firstLine="640"/>
        <w:rPr>
          <w:rFonts w:hint="eastAsia" w:ascii="仿宋" w:hAnsi="仿宋" w:eastAsia="仿宋" w:cs="仿宋"/>
          <w:bCs/>
          <w:sz w:val="32"/>
          <w:szCs w:val="32"/>
        </w:rPr>
      </w:pPr>
      <w:r>
        <w:rPr>
          <w:rFonts w:hint="eastAsia" w:ascii="仿宋" w:hAnsi="仿宋" w:eastAsia="仿宋" w:cs="仿宋"/>
          <w:bCs/>
          <w:sz w:val="32"/>
          <w:szCs w:val="32"/>
        </w:rPr>
        <w:t>1、贯彻落实科技发展、引进国外智力规划和措施。</w:t>
      </w:r>
    </w:p>
    <w:p>
      <w:pPr>
        <w:pStyle w:val="14"/>
        <w:spacing w:line="600" w:lineRule="exact"/>
        <w:ind w:firstLine="640"/>
        <w:rPr>
          <w:rFonts w:hint="eastAsia" w:ascii="仿宋" w:hAnsi="仿宋" w:eastAsia="仿宋" w:cs="仿宋"/>
          <w:bCs/>
          <w:sz w:val="32"/>
          <w:szCs w:val="32"/>
        </w:rPr>
      </w:pPr>
      <w:r>
        <w:rPr>
          <w:rFonts w:hint="eastAsia" w:ascii="仿宋" w:hAnsi="仿宋" w:eastAsia="仿宋" w:cs="仿宋"/>
          <w:bCs/>
          <w:sz w:val="32"/>
          <w:szCs w:val="32"/>
        </w:rPr>
        <w:t>2、统筹推进全市创新体系建设，优化科技创新布局，推动区域创新发展和企业科技创新能力建设，承担推进科技发展相关工作。</w:t>
      </w:r>
    </w:p>
    <w:p>
      <w:pPr>
        <w:pStyle w:val="14"/>
        <w:spacing w:line="600" w:lineRule="exact"/>
        <w:ind w:firstLine="640"/>
        <w:rPr>
          <w:rFonts w:hint="eastAsia" w:ascii="仿宋" w:hAnsi="仿宋" w:eastAsia="仿宋" w:cs="仿宋"/>
          <w:bCs/>
          <w:sz w:val="32"/>
          <w:szCs w:val="32"/>
        </w:rPr>
      </w:pPr>
      <w:r>
        <w:rPr>
          <w:rFonts w:hint="eastAsia" w:ascii="仿宋" w:hAnsi="仿宋" w:eastAsia="仿宋" w:cs="仿宋"/>
          <w:bCs/>
          <w:sz w:val="32"/>
          <w:szCs w:val="32"/>
        </w:rPr>
        <w:t>3、负责审核转报全市各类科技计划、科技专项、统筹协调基础研究、应用技术研究和社会公益性技术研究。</w:t>
      </w:r>
    </w:p>
    <w:p>
      <w:pPr>
        <w:pStyle w:val="14"/>
        <w:spacing w:line="600" w:lineRule="exact"/>
        <w:ind w:firstLine="640"/>
        <w:rPr>
          <w:rFonts w:hint="eastAsia" w:ascii="仿宋" w:hAnsi="仿宋" w:eastAsia="仿宋" w:cs="仿宋"/>
          <w:bCs/>
          <w:sz w:val="32"/>
          <w:szCs w:val="32"/>
        </w:rPr>
      </w:pPr>
      <w:r>
        <w:rPr>
          <w:rFonts w:hint="eastAsia" w:ascii="仿宋" w:hAnsi="仿宋" w:eastAsia="仿宋" w:cs="仿宋"/>
          <w:bCs/>
          <w:sz w:val="32"/>
          <w:szCs w:val="32"/>
        </w:rPr>
        <w:t>4、指导科技创新研发平台、创新载体、新型研发机构建设，推动科研条件保障建设和科技资源开放共享。</w:t>
      </w:r>
    </w:p>
    <w:p>
      <w:pPr>
        <w:pStyle w:val="14"/>
        <w:spacing w:line="600" w:lineRule="exact"/>
        <w:ind w:firstLine="640"/>
        <w:rPr>
          <w:rFonts w:hint="eastAsia" w:ascii="仿宋" w:hAnsi="仿宋" w:eastAsia="仿宋" w:cs="仿宋"/>
          <w:bCs/>
          <w:sz w:val="32"/>
          <w:szCs w:val="32"/>
        </w:rPr>
      </w:pPr>
      <w:r>
        <w:rPr>
          <w:rFonts w:hint="eastAsia" w:ascii="仿宋" w:hAnsi="仿宋" w:eastAsia="仿宋" w:cs="仿宋"/>
          <w:bCs/>
          <w:sz w:val="32"/>
          <w:szCs w:val="32"/>
        </w:rPr>
        <w:t>5、协调服务高新区技术产业开发区建设相关工作，指导高新技术企业等科技型企业培育工作。</w:t>
      </w:r>
    </w:p>
    <w:p>
      <w:pPr>
        <w:pStyle w:val="14"/>
        <w:spacing w:line="600" w:lineRule="exact"/>
        <w:ind w:firstLine="640"/>
        <w:rPr>
          <w:rFonts w:hint="eastAsia" w:ascii="仿宋" w:hAnsi="仿宋" w:eastAsia="仿宋" w:cs="仿宋"/>
          <w:bCs/>
          <w:sz w:val="32"/>
          <w:szCs w:val="32"/>
        </w:rPr>
      </w:pPr>
      <w:r>
        <w:rPr>
          <w:rFonts w:hint="eastAsia" w:ascii="仿宋" w:hAnsi="仿宋" w:eastAsia="仿宋" w:cs="仿宋"/>
          <w:bCs/>
          <w:sz w:val="32"/>
          <w:szCs w:val="32"/>
        </w:rPr>
        <w:t>6、推动县域创新驱动发展和社会发展领域科技创新，落实安全生产方面有关科技职责。</w:t>
      </w:r>
    </w:p>
    <w:p>
      <w:pPr>
        <w:pStyle w:val="14"/>
        <w:spacing w:line="600" w:lineRule="exact"/>
        <w:ind w:firstLine="640"/>
        <w:rPr>
          <w:rFonts w:hint="eastAsia" w:ascii="仿宋" w:hAnsi="仿宋" w:eastAsia="仿宋" w:cs="仿宋"/>
          <w:bCs/>
          <w:sz w:val="32"/>
          <w:szCs w:val="32"/>
        </w:rPr>
      </w:pPr>
      <w:r>
        <w:rPr>
          <w:rFonts w:hint="eastAsia" w:ascii="仿宋" w:hAnsi="仿宋" w:eastAsia="仿宋" w:cs="仿宋"/>
          <w:bCs/>
          <w:sz w:val="32"/>
          <w:szCs w:val="32"/>
        </w:rPr>
        <w:t>7、落实科技体制改革政策措施，推进科技体制改革工作，优化科技资源配置。</w:t>
      </w:r>
    </w:p>
    <w:p>
      <w:pPr>
        <w:pStyle w:val="14"/>
        <w:spacing w:line="600" w:lineRule="exact"/>
        <w:ind w:firstLine="640"/>
        <w:rPr>
          <w:rFonts w:hint="eastAsia" w:ascii="仿宋" w:hAnsi="仿宋" w:eastAsia="仿宋" w:cs="仿宋"/>
          <w:bCs/>
          <w:sz w:val="32"/>
          <w:szCs w:val="32"/>
        </w:rPr>
      </w:pPr>
      <w:r>
        <w:rPr>
          <w:rFonts w:hint="eastAsia" w:ascii="仿宋" w:hAnsi="仿宋" w:eastAsia="仿宋" w:cs="仿宋"/>
          <w:bCs/>
          <w:sz w:val="32"/>
          <w:szCs w:val="32"/>
        </w:rPr>
        <w:t>8、负责技术转移体系工作，推动科技服务业、技术市场、科技中介组织发展。落实科技成果转移转化及产业化、促进产学研深度融合的措施。</w:t>
      </w:r>
    </w:p>
    <w:p>
      <w:pPr>
        <w:pStyle w:val="14"/>
        <w:spacing w:line="600" w:lineRule="exact"/>
        <w:ind w:firstLine="640"/>
        <w:rPr>
          <w:rFonts w:hint="eastAsia" w:ascii="仿宋" w:hAnsi="仿宋" w:eastAsia="仿宋" w:cs="仿宋"/>
          <w:bCs/>
          <w:sz w:val="32"/>
          <w:szCs w:val="32"/>
        </w:rPr>
      </w:pPr>
      <w:r>
        <w:rPr>
          <w:rFonts w:hint="eastAsia" w:ascii="仿宋" w:hAnsi="仿宋" w:eastAsia="仿宋" w:cs="仿宋"/>
          <w:bCs/>
          <w:sz w:val="32"/>
          <w:szCs w:val="32"/>
        </w:rPr>
        <w:t>9、负责科技统计、科研诚信、科技安全和科技保密等工作，贯彻落实科技法规等工作，组织开展全市国防科技动员工作。</w:t>
      </w:r>
    </w:p>
    <w:p>
      <w:pPr>
        <w:pStyle w:val="14"/>
        <w:spacing w:line="600" w:lineRule="exact"/>
        <w:ind w:firstLine="640"/>
        <w:rPr>
          <w:rFonts w:hint="eastAsia" w:ascii="仿宋" w:hAnsi="仿宋" w:eastAsia="仿宋" w:cs="仿宋"/>
          <w:bCs/>
          <w:sz w:val="32"/>
          <w:szCs w:val="32"/>
        </w:rPr>
      </w:pPr>
      <w:r>
        <w:rPr>
          <w:rFonts w:hint="eastAsia" w:ascii="仿宋" w:hAnsi="仿宋" w:eastAsia="仿宋" w:cs="仿宋"/>
          <w:bCs/>
          <w:sz w:val="32"/>
          <w:szCs w:val="32"/>
        </w:rPr>
        <w:t>10、负责科技行政管理及相关服务事项工作。</w:t>
      </w:r>
    </w:p>
    <w:p>
      <w:pPr>
        <w:pStyle w:val="14"/>
        <w:spacing w:line="600" w:lineRule="exact"/>
        <w:ind w:firstLine="640"/>
        <w:rPr>
          <w:rFonts w:hint="eastAsia" w:ascii="仿宋" w:hAnsi="仿宋" w:eastAsia="仿宋" w:cs="仿宋"/>
          <w:bCs/>
          <w:sz w:val="32"/>
          <w:szCs w:val="32"/>
        </w:rPr>
      </w:pPr>
      <w:r>
        <w:rPr>
          <w:rFonts w:hint="eastAsia" w:ascii="仿宋" w:hAnsi="仿宋" w:eastAsia="仿宋" w:cs="仿宋"/>
          <w:bCs/>
          <w:sz w:val="32"/>
          <w:szCs w:val="32"/>
        </w:rPr>
        <w:t>11、贯彻科技人才队伍建设规划，建立健全科技人才评价和激励机制。</w:t>
      </w:r>
    </w:p>
    <w:p>
      <w:pPr>
        <w:pStyle w:val="14"/>
        <w:spacing w:line="600" w:lineRule="exact"/>
        <w:ind w:firstLine="640"/>
        <w:rPr>
          <w:rFonts w:hint="eastAsia" w:ascii="仿宋" w:hAnsi="仿宋" w:eastAsia="仿宋" w:cs="仿宋"/>
          <w:bCs/>
          <w:sz w:val="32"/>
          <w:szCs w:val="32"/>
        </w:rPr>
      </w:pPr>
      <w:r>
        <w:rPr>
          <w:rFonts w:hint="eastAsia" w:ascii="仿宋" w:hAnsi="仿宋" w:eastAsia="仿宋" w:cs="仿宋"/>
          <w:bCs/>
          <w:sz w:val="32"/>
          <w:szCs w:val="32"/>
        </w:rPr>
        <w:t>12、负责引进国外智力工作，承担重点外国专家服务工作，组织协调全市科技外事工作</w:t>
      </w:r>
    </w:p>
    <w:p>
      <w:pPr>
        <w:pStyle w:val="14"/>
        <w:spacing w:line="600" w:lineRule="exact"/>
        <w:ind w:firstLine="640"/>
        <w:rPr>
          <w:rFonts w:hint="eastAsia" w:ascii="仿宋" w:hAnsi="仿宋" w:eastAsia="仿宋" w:cs="仿宋"/>
          <w:bCs/>
          <w:sz w:val="32"/>
          <w:szCs w:val="32"/>
        </w:rPr>
      </w:pPr>
      <w:r>
        <w:rPr>
          <w:rFonts w:hint="eastAsia" w:ascii="仿宋" w:hAnsi="仿宋" w:eastAsia="仿宋" w:cs="仿宋"/>
          <w:bCs/>
          <w:sz w:val="32"/>
          <w:szCs w:val="32"/>
        </w:rPr>
        <w:t>13、实施科技对外合作交流的规划和措施，组织参加国内外科技合作与科技人才交流。</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14、完成市委、市政府交办的其他任务。</w:t>
      </w:r>
    </w:p>
    <w:p>
      <w:pPr>
        <w:pStyle w:val="5"/>
        <w:numPr>
          <w:ilvl w:val="0"/>
          <w:numId w:val="2"/>
        </w:numPr>
        <w:shd w:val="clear" w:color="auto" w:fill="FFFFFF"/>
        <w:spacing w:line="390" w:lineRule="atLeast"/>
        <w:ind w:firstLine="643" w:firstLineChars="200"/>
        <w:rPr>
          <w:rFonts w:hint="eastAsia" w:ascii="仿宋_GB2312" w:hAnsi="仿宋_GB2312" w:eastAsia="仿宋_GB2312" w:cs="仿宋_GB2312"/>
          <w:b/>
          <w:bCs/>
          <w:color w:val="444444"/>
          <w:sz w:val="32"/>
          <w:szCs w:val="32"/>
        </w:rPr>
      </w:pPr>
      <w:r>
        <w:rPr>
          <w:rFonts w:hint="eastAsia" w:ascii="仿宋_GB2312" w:hAnsi="仿宋_GB2312" w:eastAsia="仿宋_GB2312" w:cs="仿宋_GB2312"/>
          <w:b/>
          <w:bCs/>
          <w:color w:val="444444"/>
          <w:sz w:val="32"/>
          <w:szCs w:val="32"/>
        </w:rPr>
        <w:t>部门基本情况</w:t>
      </w:r>
    </w:p>
    <w:p>
      <w:pPr>
        <w:ind w:firstLine="640" w:firstLineChars="200"/>
        <w:rPr>
          <w:rFonts w:hint="eastAsia" w:ascii="宋体" w:hAnsi="宋体"/>
          <w:b/>
          <w:sz w:val="32"/>
          <w:szCs w:val="32"/>
        </w:rPr>
      </w:pPr>
      <w:r>
        <w:rPr>
          <w:rFonts w:hint="eastAsia" w:ascii="仿宋_GB2312" w:hAnsi="宋体" w:eastAsia="仿宋_GB2312" w:cs="宋体"/>
          <w:sz w:val="32"/>
          <w:szCs w:val="32"/>
        </w:rPr>
        <w:t>共青城市科学技术局共有预算单位1个，包括局本级和0个所属二级预算单位，实有人数11人，其中：行政编制5人，全额补助事业编制0人，工勤编0人，同岗同酬1人；改制干部2人，自聘人员1人，转入购岗人员1人，其他人员1人，退休人员0人。</w:t>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2020年度部门决算表</w:t>
      </w:r>
    </w:p>
    <w:p>
      <w:pPr>
        <w:widowControl/>
        <w:spacing w:line="600" w:lineRule="exact"/>
        <w:ind w:firstLine="640"/>
        <w:rPr>
          <w:rFonts w:hint="eastAsia" w:ascii="宋体" w:hAnsi="宋体"/>
          <w:b/>
          <w:sz w:val="32"/>
          <w:szCs w:val="32"/>
        </w:rPr>
      </w:pPr>
    </w:p>
    <w:p>
      <w:pPr>
        <w:widowControl/>
        <w:spacing w:line="600" w:lineRule="exact"/>
        <w:ind w:firstLine="640"/>
        <w:rPr>
          <w:rFonts w:hint="eastAsia" w:ascii="宋体" w:hAnsi="宋体"/>
          <w:b/>
          <w:sz w:val="32"/>
          <w:szCs w:val="32"/>
        </w:rPr>
      </w:pPr>
      <w:r>
        <w:drawing>
          <wp:anchor distT="0" distB="0" distL="114300" distR="114300" simplePos="0" relativeHeight="251659264" behindDoc="1" locked="0" layoutInCell="1" allowOverlap="1">
            <wp:simplePos x="0" y="0"/>
            <wp:positionH relativeFrom="column">
              <wp:posOffset>15875</wp:posOffset>
            </wp:positionH>
            <wp:positionV relativeFrom="paragraph">
              <wp:posOffset>293370</wp:posOffset>
            </wp:positionV>
            <wp:extent cx="5267325" cy="4497705"/>
            <wp:effectExtent l="0" t="0" r="9525" b="17145"/>
            <wp:wrapNone/>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4"/>
                    <a:stretch>
                      <a:fillRect/>
                    </a:stretch>
                  </pic:blipFill>
                  <pic:spPr>
                    <a:xfrm>
                      <a:off x="0" y="0"/>
                      <a:ext cx="5267325" cy="4497705"/>
                    </a:xfrm>
                    <a:prstGeom prst="rect">
                      <a:avLst/>
                    </a:prstGeom>
                    <a:noFill/>
                    <a:ln>
                      <a:noFill/>
                    </a:ln>
                  </pic:spPr>
                </pic:pic>
              </a:graphicData>
            </a:graphic>
          </wp:anchor>
        </w:drawing>
      </w:r>
    </w:p>
    <w:p>
      <w:pPr>
        <w:widowControl/>
        <w:spacing w:line="600" w:lineRule="exact"/>
        <w:ind w:firstLine="640"/>
        <w:rPr>
          <w:rFonts w:hint="eastAsia" w:ascii="宋体" w:hAnsi="宋体"/>
          <w:b/>
          <w:sz w:val="32"/>
          <w:szCs w:val="32"/>
        </w:rPr>
      </w:pPr>
    </w:p>
    <w:p>
      <w:pPr>
        <w:widowControl/>
        <w:spacing w:line="600" w:lineRule="exact"/>
        <w:ind w:firstLine="640"/>
        <w:rPr>
          <w:rFonts w:hint="eastAsia" w:ascii="宋体" w:hAnsi="宋体"/>
          <w:b/>
          <w:sz w:val="32"/>
          <w:szCs w:val="32"/>
        </w:rPr>
      </w:pPr>
      <w:r>
        <w:rPr>
          <w:rFonts w:hint="eastAsia" w:ascii="宋体" w:hAnsi="宋体"/>
          <w:b/>
          <w:sz w:val="32"/>
          <w:szCs w:val="32"/>
        </w:rPr>
        <w:tab/>
      </w:r>
      <w:r>
        <w:rPr>
          <w:rFonts w:hint="eastAsia" w:ascii="宋体" w:hAnsi="宋体"/>
          <w:b/>
          <w:sz w:val="32"/>
          <w:szCs w:val="32"/>
        </w:rPr>
        <w:tab/>
      </w:r>
    </w:p>
    <w:p>
      <w:pPr>
        <w:widowControl/>
        <w:spacing w:line="600" w:lineRule="exact"/>
        <w:ind w:firstLine="640"/>
        <w:rPr>
          <w:rFonts w:hint="eastAsia" w:ascii="宋体" w:hAnsi="宋体"/>
          <w:b/>
          <w:sz w:val="32"/>
          <w:szCs w:val="32"/>
        </w:rPr>
      </w:pPr>
    </w:p>
    <w:p>
      <w:pPr>
        <w:widowControl/>
        <w:spacing w:line="600" w:lineRule="exact"/>
        <w:ind w:firstLine="640"/>
        <w:rPr>
          <w:rFonts w:hint="eastAsia" w:ascii="宋体" w:hAnsi="宋体"/>
          <w:b/>
          <w:sz w:val="32"/>
          <w:szCs w:val="32"/>
        </w:rPr>
      </w:pPr>
    </w:p>
    <w:p>
      <w:pPr>
        <w:widowControl/>
        <w:spacing w:line="600" w:lineRule="exact"/>
        <w:ind w:firstLine="640"/>
        <w:rPr>
          <w:rFonts w:hint="eastAsia" w:ascii="宋体" w:hAnsi="宋体"/>
          <w:b/>
          <w:sz w:val="32"/>
          <w:szCs w:val="32"/>
        </w:rPr>
      </w:pPr>
    </w:p>
    <w:p>
      <w:pPr>
        <w:widowControl/>
        <w:spacing w:line="600" w:lineRule="exact"/>
        <w:ind w:firstLine="640"/>
        <w:rPr>
          <w:rFonts w:hint="eastAsia" w:ascii="宋体" w:hAnsi="宋体"/>
          <w:b/>
          <w:sz w:val="32"/>
          <w:szCs w:val="32"/>
        </w:rPr>
      </w:pPr>
    </w:p>
    <w:p>
      <w:pPr>
        <w:widowControl/>
        <w:spacing w:line="600" w:lineRule="exact"/>
        <w:ind w:firstLine="640"/>
        <w:rPr>
          <w:rFonts w:hint="eastAsia" w:ascii="宋体" w:hAnsi="宋体"/>
          <w:b/>
          <w:sz w:val="32"/>
          <w:szCs w:val="32"/>
        </w:rPr>
      </w:pPr>
    </w:p>
    <w:p>
      <w:pPr>
        <w:widowControl/>
        <w:spacing w:line="600" w:lineRule="exact"/>
        <w:ind w:firstLine="640"/>
        <w:rPr>
          <w:rFonts w:hint="eastAsia" w:ascii="宋体" w:hAnsi="宋体"/>
          <w:b/>
          <w:sz w:val="32"/>
          <w:szCs w:val="32"/>
        </w:rPr>
      </w:pPr>
    </w:p>
    <w:p>
      <w:pPr>
        <w:widowControl/>
        <w:spacing w:line="600" w:lineRule="exact"/>
        <w:ind w:firstLine="640"/>
        <w:rPr>
          <w:rFonts w:hint="eastAsia" w:ascii="宋体" w:hAnsi="宋体"/>
          <w:b/>
          <w:sz w:val="32"/>
          <w:szCs w:val="32"/>
        </w:rPr>
      </w:pPr>
    </w:p>
    <w:p>
      <w:pPr>
        <w:widowControl/>
        <w:spacing w:line="600" w:lineRule="exact"/>
        <w:ind w:firstLine="640"/>
        <w:rPr>
          <w:rFonts w:hint="eastAsia" w:ascii="宋体" w:hAnsi="宋体"/>
          <w:b/>
          <w:sz w:val="32"/>
          <w:szCs w:val="32"/>
        </w:rPr>
      </w:pPr>
    </w:p>
    <w:p>
      <w:pPr>
        <w:widowControl/>
        <w:spacing w:line="600" w:lineRule="exact"/>
        <w:ind w:firstLine="640"/>
        <w:rPr>
          <w:rFonts w:hint="eastAsia" w:ascii="宋体" w:hAnsi="宋体"/>
          <w:b/>
          <w:sz w:val="32"/>
          <w:szCs w:val="32"/>
        </w:rPr>
      </w:pPr>
    </w:p>
    <w:p>
      <w:pPr>
        <w:widowControl/>
        <w:spacing w:line="600" w:lineRule="exact"/>
        <w:ind w:firstLine="640"/>
        <w:rPr>
          <w:rFonts w:hint="eastAsia" w:ascii="宋体" w:hAnsi="宋体"/>
          <w:b/>
          <w:sz w:val="32"/>
          <w:szCs w:val="32"/>
        </w:rPr>
      </w:pPr>
    </w:p>
    <w:p>
      <w:pPr>
        <w:widowControl/>
        <w:spacing w:line="600" w:lineRule="exact"/>
        <w:ind w:firstLine="640"/>
        <w:rPr>
          <w:rFonts w:hint="eastAsia" w:ascii="宋体" w:hAnsi="宋体"/>
          <w:b/>
          <w:sz w:val="32"/>
          <w:szCs w:val="32"/>
        </w:rPr>
      </w:pPr>
    </w:p>
    <w:p>
      <w:pPr>
        <w:widowControl/>
        <w:spacing w:line="600" w:lineRule="exact"/>
        <w:ind w:firstLine="640"/>
        <w:rPr>
          <w:rFonts w:hint="eastAsia" w:ascii="宋体" w:hAnsi="宋体"/>
          <w:b/>
          <w:sz w:val="32"/>
          <w:szCs w:val="32"/>
        </w:rPr>
      </w:pPr>
    </w:p>
    <w:p>
      <w:pPr>
        <w:widowControl/>
        <w:spacing w:line="600" w:lineRule="exact"/>
        <w:ind w:firstLine="640"/>
        <w:rPr>
          <w:rFonts w:hint="eastAsia" w:ascii="宋体" w:hAnsi="宋体"/>
          <w:b/>
          <w:sz w:val="32"/>
          <w:szCs w:val="32"/>
        </w:rPr>
      </w:pPr>
    </w:p>
    <w:p>
      <w:pPr>
        <w:widowControl/>
        <w:spacing w:line="600" w:lineRule="exact"/>
        <w:ind w:firstLine="640"/>
        <w:rPr>
          <w:rFonts w:hint="eastAsia" w:ascii="宋体" w:hAnsi="宋体"/>
          <w:b/>
          <w:sz w:val="32"/>
          <w:szCs w:val="32"/>
        </w:rPr>
      </w:pPr>
    </w:p>
    <w:p>
      <w:pPr>
        <w:widowControl/>
        <w:spacing w:line="600" w:lineRule="exact"/>
        <w:ind w:firstLine="640"/>
        <w:rPr>
          <w:rFonts w:hint="eastAsia" w:ascii="宋体" w:hAnsi="宋体"/>
          <w:b/>
          <w:sz w:val="32"/>
          <w:szCs w:val="32"/>
        </w:rPr>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72405" cy="2845435"/>
            <wp:effectExtent l="0" t="0" r="4445" b="1206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5"/>
                    <a:stretch>
                      <a:fillRect/>
                    </a:stretch>
                  </pic:blipFill>
                  <pic:spPr>
                    <a:xfrm>
                      <a:off x="0" y="0"/>
                      <a:ext cx="5272405" cy="284543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tabs>
          <w:tab w:val="left" w:pos="2908"/>
        </w:tabs>
        <w:bidi w:val="0"/>
        <w:jc w:val="left"/>
        <w:rPr>
          <w:lang w:val="en-US" w:eastAsia="zh-CN"/>
        </w:rPr>
      </w:pPr>
    </w:p>
    <w:p>
      <w:pPr>
        <w:autoSpaceDE w:val="0"/>
        <w:autoSpaceDN w:val="0"/>
        <w:adjustRightInd w:val="0"/>
        <w:spacing w:line="360" w:lineRule="auto"/>
        <w:jc w:val="left"/>
      </w:pPr>
      <w:r>
        <w:drawing>
          <wp:inline distT="0" distB="0" distL="114300" distR="114300">
            <wp:extent cx="5266690" cy="3131820"/>
            <wp:effectExtent l="0" t="0" r="10160" b="1143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6"/>
                    <a:stretch>
                      <a:fillRect/>
                    </a:stretch>
                  </pic:blipFill>
                  <pic:spPr>
                    <a:xfrm>
                      <a:off x="0" y="0"/>
                      <a:ext cx="5266690" cy="3131820"/>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5270500" cy="3441065"/>
            <wp:effectExtent l="0" t="0" r="6350" b="6985"/>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pic:cNvPicPr>
                  </pic:nvPicPr>
                  <pic:blipFill>
                    <a:blip r:embed="rId7"/>
                    <a:stretch>
                      <a:fillRect/>
                    </a:stretch>
                  </pic:blipFill>
                  <pic:spPr>
                    <a:xfrm>
                      <a:off x="0" y="0"/>
                      <a:ext cx="5270500" cy="344106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73040" cy="4573905"/>
            <wp:effectExtent l="0" t="0" r="3810" b="17145"/>
            <wp:docPr id="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1"/>
                    <pic:cNvPicPr>
                      <a:picLocks noChangeAspect="1"/>
                    </pic:cNvPicPr>
                  </pic:nvPicPr>
                  <pic:blipFill>
                    <a:blip r:embed="rId8"/>
                    <a:stretch>
                      <a:fillRect/>
                    </a:stretch>
                  </pic:blipFill>
                  <pic:spPr>
                    <a:xfrm>
                      <a:off x="0" y="0"/>
                      <a:ext cx="5273040" cy="457390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tabs>
          <w:tab w:val="left" w:pos="2796"/>
        </w:tabs>
        <w:jc w:val="left"/>
        <w:rPr>
          <w:rFonts w:hint="eastAsia"/>
        </w:rPr>
      </w:pPr>
    </w:p>
    <w:p>
      <w:pPr>
        <w:autoSpaceDE w:val="0"/>
        <w:autoSpaceDN w:val="0"/>
        <w:adjustRightInd w:val="0"/>
        <w:spacing w:line="360" w:lineRule="auto"/>
        <w:jc w:val="left"/>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7435850"/>
            <wp:effectExtent l="0" t="0" r="6350" b="12700"/>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pic:cNvPicPr>
                  </pic:nvPicPr>
                  <pic:blipFill>
                    <a:blip r:embed="rId9"/>
                    <a:stretch>
                      <a:fillRect/>
                    </a:stretch>
                  </pic:blipFill>
                  <pic:spPr>
                    <a:xfrm>
                      <a:off x="0" y="0"/>
                      <a:ext cx="5270500" cy="7435850"/>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71135" cy="4050665"/>
            <wp:effectExtent l="0" t="0" r="5715" b="6985"/>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pic:cNvPicPr>
                      <a:picLocks noChangeAspect="1"/>
                    </pic:cNvPicPr>
                  </pic:nvPicPr>
                  <pic:blipFill>
                    <a:blip r:embed="rId10"/>
                    <a:stretch>
                      <a:fillRect/>
                    </a:stretch>
                  </pic:blipFill>
                  <pic:spPr>
                    <a:xfrm>
                      <a:off x="0" y="0"/>
                      <a:ext cx="5271135" cy="4050665"/>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drawing>
          <wp:anchor distT="0" distB="0" distL="114300" distR="114300" simplePos="0" relativeHeight="251660288" behindDoc="1" locked="0" layoutInCell="1" allowOverlap="1">
            <wp:simplePos x="0" y="0"/>
            <wp:positionH relativeFrom="column">
              <wp:posOffset>130175</wp:posOffset>
            </wp:positionH>
            <wp:positionV relativeFrom="paragraph">
              <wp:posOffset>331470</wp:posOffset>
            </wp:positionV>
            <wp:extent cx="5271770" cy="1849755"/>
            <wp:effectExtent l="0" t="0" r="5080" b="17145"/>
            <wp:wrapNone/>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11"/>
                    <a:stretch>
                      <a:fillRect/>
                    </a:stretch>
                  </pic:blipFill>
                  <pic:spPr>
                    <a:xfrm>
                      <a:off x="0" y="0"/>
                      <a:ext cx="5271770" cy="1849755"/>
                    </a:xfrm>
                    <a:prstGeom prst="rect">
                      <a:avLst/>
                    </a:prstGeom>
                    <a:noFill/>
                    <a:ln>
                      <a:noFill/>
                    </a:ln>
                  </pic:spPr>
                </pic:pic>
              </a:graphicData>
            </a:graphic>
          </wp:anchor>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drawing>
          <wp:anchor distT="0" distB="0" distL="114300" distR="114300" simplePos="0" relativeHeight="251661312" behindDoc="1" locked="0" layoutInCell="1" allowOverlap="1">
            <wp:simplePos x="0" y="0"/>
            <wp:positionH relativeFrom="column">
              <wp:posOffset>406400</wp:posOffset>
            </wp:positionH>
            <wp:positionV relativeFrom="paragraph">
              <wp:posOffset>-1229360</wp:posOffset>
            </wp:positionV>
            <wp:extent cx="5271770" cy="1534160"/>
            <wp:effectExtent l="0" t="0" r="5080" b="8890"/>
            <wp:wrapNone/>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12"/>
                    <a:stretch>
                      <a:fillRect/>
                    </a:stretch>
                  </pic:blipFill>
                  <pic:spPr>
                    <a:xfrm>
                      <a:off x="0" y="0"/>
                      <a:ext cx="5271770" cy="1534160"/>
                    </a:xfrm>
                    <a:prstGeom prst="rect">
                      <a:avLst/>
                    </a:prstGeom>
                    <a:noFill/>
                    <a:ln>
                      <a:noFill/>
                    </a:ln>
                  </pic:spPr>
                </pic:pic>
              </a:graphicData>
            </a:graphic>
          </wp:anchor>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drawing>
          <wp:anchor distT="0" distB="0" distL="114300" distR="114300" simplePos="0" relativeHeight="251662336" behindDoc="1" locked="0" layoutInCell="1" allowOverlap="1">
            <wp:simplePos x="0" y="0"/>
            <wp:positionH relativeFrom="column">
              <wp:posOffset>177800</wp:posOffset>
            </wp:positionH>
            <wp:positionV relativeFrom="paragraph">
              <wp:posOffset>148590</wp:posOffset>
            </wp:positionV>
            <wp:extent cx="5272405" cy="3089910"/>
            <wp:effectExtent l="0" t="0" r="4445" b="15240"/>
            <wp:wrapNone/>
            <wp:docPr id="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pic:cNvPicPr>
                      <a:picLocks noChangeAspect="1"/>
                    </pic:cNvPicPr>
                  </pic:nvPicPr>
                  <pic:blipFill>
                    <a:blip r:embed="rId13"/>
                    <a:stretch>
                      <a:fillRect/>
                    </a:stretch>
                  </pic:blipFill>
                  <pic:spPr>
                    <a:xfrm>
                      <a:off x="0" y="0"/>
                      <a:ext cx="5272405" cy="3089910"/>
                    </a:xfrm>
                    <a:prstGeom prst="rect">
                      <a:avLst/>
                    </a:prstGeom>
                    <a:noFill/>
                    <a:ln>
                      <a:noFill/>
                    </a:ln>
                  </pic:spPr>
                </pic:pic>
              </a:graphicData>
            </a:graphic>
          </wp:anchor>
        </w:drawing>
      </w: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202</w:t>
      </w:r>
      <w:r>
        <w:rPr>
          <w:rFonts w:hint="eastAsia" w:ascii="宋体" w:hAnsi="宋体"/>
          <w:b/>
          <w:sz w:val="32"/>
          <w:szCs w:val="32"/>
          <w:lang w:val="en-US" w:eastAsia="zh-CN"/>
        </w:rPr>
        <w:t>1</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本部门202</w:t>
      </w:r>
      <w:r>
        <w:rPr>
          <w:rFonts w:hint="eastAsia" w:ascii="仿宋" w:hAnsi="仿宋" w:eastAsia="仿宋"/>
          <w:sz w:val="30"/>
          <w:szCs w:val="30"/>
          <w:lang w:val="en-US" w:eastAsia="zh-CN"/>
        </w:rPr>
        <w:t>1</w:t>
      </w:r>
      <w:r>
        <w:rPr>
          <w:rFonts w:hint="eastAsia" w:ascii="仿宋" w:hAnsi="仿宋" w:eastAsia="仿宋"/>
          <w:sz w:val="30"/>
          <w:szCs w:val="30"/>
        </w:rPr>
        <w:t>年度收入总计1129.2</w:t>
      </w:r>
      <w:r>
        <w:rPr>
          <w:rFonts w:hint="eastAsia" w:ascii="仿宋" w:hAnsi="仿宋" w:eastAsia="仿宋"/>
          <w:sz w:val="30"/>
          <w:szCs w:val="30"/>
          <w:lang w:val="en-US" w:eastAsia="zh-CN"/>
        </w:rPr>
        <w:t>7</w:t>
      </w:r>
      <w:r>
        <w:rPr>
          <w:rFonts w:hint="eastAsia" w:ascii="仿宋" w:hAnsi="仿宋" w:eastAsia="仿宋"/>
          <w:sz w:val="30"/>
          <w:szCs w:val="30"/>
        </w:rPr>
        <w:t>万元，其中年初结转和结余 10万元，较2019年增加0 万元，增长0 %；本年收入合计 11</w:t>
      </w:r>
      <w:r>
        <w:rPr>
          <w:rFonts w:hint="eastAsia" w:ascii="仿宋" w:hAnsi="仿宋" w:eastAsia="仿宋"/>
          <w:sz w:val="30"/>
          <w:szCs w:val="30"/>
          <w:lang w:val="en-US" w:eastAsia="zh-CN"/>
        </w:rPr>
        <w:t>1</w:t>
      </w:r>
      <w:r>
        <w:rPr>
          <w:rFonts w:hint="eastAsia" w:ascii="仿宋" w:hAnsi="仿宋" w:eastAsia="仿宋"/>
          <w:sz w:val="30"/>
          <w:szCs w:val="30"/>
        </w:rPr>
        <w:t>9.2</w:t>
      </w:r>
      <w:r>
        <w:rPr>
          <w:rFonts w:hint="eastAsia" w:ascii="仿宋" w:hAnsi="仿宋" w:eastAsia="仿宋"/>
          <w:sz w:val="30"/>
          <w:szCs w:val="30"/>
          <w:lang w:val="en-US" w:eastAsia="zh-CN"/>
        </w:rPr>
        <w:t>7</w:t>
      </w:r>
      <w:r>
        <w:rPr>
          <w:rFonts w:hint="eastAsia" w:ascii="仿宋" w:hAnsi="仿宋" w:eastAsia="仿宋"/>
          <w:sz w:val="30"/>
          <w:szCs w:val="30"/>
        </w:rPr>
        <w:t>万元，较2019年增长 2</w:t>
      </w:r>
      <w:r>
        <w:rPr>
          <w:rFonts w:hint="eastAsia" w:ascii="仿宋" w:hAnsi="仿宋" w:eastAsia="仿宋"/>
          <w:sz w:val="30"/>
          <w:szCs w:val="30"/>
          <w:lang w:val="en-US" w:eastAsia="zh-CN"/>
        </w:rPr>
        <w:t>1</w:t>
      </w:r>
      <w:r>
        <w:rPr>
          <w:rFonts w:hint="eastAsia" w:ascii="仿宋" w:hAnsi="仿宋" w:eastAsia="仿宋"/>
          <w:sz w:val="30"/>
          <w:szCs w:val="30"/>
        </w:rPr>
        <w:t>7.36万元，增长2</w:t>
      </w:r>
      <w:r>
        <w:rPr>
          <w:rFonts w:hint="eastAsia" w:ascii="仿宋" w:hAnsi="仿宋" w:eastAsia="仿宋"/>
          <w:sz w:val="30"/>
          <w:szCs w:val="30"/>
          <w:lang w:val="en-US" w:eastAsia="zh-CN"/>
        </w:rPr>
        <w:t>4.1</w:t>
      </w:r>
      <w:r>
        <w:rPr>
          <w:rFonts w:hint="eastAsia" w:ascii="仿宋" w:hAnsi="仿宋" w:eastAsia="仿宋"/>
          <w:sz w:val="30"/>
          <w:szCs w:val="30"/>
        </w:rPr>
        <w:t xml:space="preserve"> %，主要原因是</w:t>
      </w:r>
      <w:r>
        <w:rPr>
          <w:rFonts w:hint="eastAsia" w:ascii="仿宋" w:hAnsi="仿宋" w:eastAsia="仿宋"/>
          <w:sz w:val="30"/>
          <w:szCs w:val="30"/>
          <w:lang w:eastAsia="zh-CN"/>
        </w:rPr>
        <w:t>：本单位于</w:t>
      </w:r>
      <w:r>
        <w:rPr>
          <w:rFonts w:hint="eastAsia" w:ascii="仿宋" w:hAnsi="仿宋" w:eastAsia="仿宋"/>
          <w:sz w:val="30"/>
          <w:szCs w:val="30"/>
          <w:lang w:val="en-US" w:eastAsia="zh-CN"/>
        </w:rPr>
        <w:t>2019年2月成立，业务开展未满一年。</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本年收入的具体构成为：财政拨款收入11</w:t>
      </w:r>
      <w:r>
        <w:rPr>
          <w:rFonts w:hint="eastAsia" w:ascii="仿宋" w:hAnsi="仿宋" w:eastAsia="仿宋"/>
          <w:sz w:val="30"/>
          <w:szCs w:val="30"/>
          <w:lang w:val="en-US" w:eastAsia="zh-CN"/>
        </w:rPr>
        <w:t>1</w:t>
      </w:r>
      <w:r>
        <w:rPr>
          <w:rFonts w:hint="eastAsia" w:ascii="仿宋" w:hAnsi="仿宋" w:eastAsia="仿宋"/>
          <w:sz w:val="30"/>
          <w:szCs w:val="30"/>
        </w:rPr>
        <w:t>9.2</w:t>
      </w:r>
      <w:r>
        <w:rPr>
          <w:rFonts w:hint="eastAsia" w:ascii="仿宋" w:hAnsi="仿宋" w:eastAsia="仿宋"/>
          <w:sz w:val="30"/>
          <w:szCs w:val="30"/>
          <w:lang w:val="en-US" w:eastAsia="zh-CN"/>
        </w:rPr>
        <w:t>7</w:t>
      </w:r>
      <w:r>
        <w:rPr>
          <w:rFonts w:hint="eastAsia" w:ascii="仿宋" w:hAnsi="仿宋" w:eastAsia="仿宋"/>
          <w:sz w:val="30"/>
          <w:szCs w:val="30"/>
        </w:rPr>
        <w:t>万元，占</w:t>
      </w:r>
      <w:r>
        <w:rPr>
          <w:rFonts w:hint="eastAsia" w:ascii="仿宋" w:hAnsi="仿宋" w:eastAsia="仿宋"/>
          <w:sz w:val="30"/>
          <w:szCs w:val="30"/>
          <w:lang w:val="en-US" w:eastAsia="zh-CN"/>
        </w:rPr>
        <w:t>99.11</w:t>
      </w:r>
      <w:r>
        <w:rPr>
          <w:rFonts w:hint="eastAsia" w:ascii="仿宋" w:hAnsi="仿宋" w:eastAsia="仿宋"/>
          <w:sz w:val="30"/>
          <w:szCs w:val="30"/>
        </w:rPr>
        <w:t xml:space="preserve">%；事业收入  0 万元，占 0 %；经营收入 0 万元，占 0 %；其他收入 </w:t>
      </w:r>
      <w:r>
        <w:rPr>
          <w:rFonts w:hint="eastAsia" w:ascii="仿宋" w:hAnsi="仿宋" w:eastAsia="仿宋"/>
          <w:sz w:val="30"/>
          <w:szCs w:val="30"/>
          <w:lang w:val="en-US" w:eastAsia="zh-CN"/>
        </w:rPr>
        <w:t>1</w:t>
      </w:r>
      <w:r>
        <w:rPr>
          <w:rFonts w:hint="eastAsia" w:ascii="仿宋" w:hAnsi="仿宋" w:eastAsia="仿宋"/>
          <w:sz w:val="30"/>
          <w:szCs w:val="30"/>
        </w:rPr>
        <w:t xml:space="preserve"> 0 万元，占 </w:t>
      </w:r>
      <w:r>
        <w:rPr>
          <w:rFonts w:hint="eastAsia" w:ascii="仿宋" w:hAnsi="仿宋" w:eastAsia="仿宋"/>
          <w:sz w:val="30"/>
          <w:szCs w:val="30"/>
          <w:lang w:val="en-US" w:eastAsia="zh-CN"/>
        </w:rPr>
        <w:t>0.89</w:t>
      </w:r>
      <w:r>
        <w:rPr>
          <w:rFonts w:hint="eastAsia" w:ascii="仿宋" w:hAnsi="仿宋" w:eastAsia="仿宋"/>
          <w:sz w:val="30"/>
          <w:szCs w:val="30"/>
        </w:rPr>
        <w:t xml:space="preserve"> %。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lang w:val="en-US" w:eastAsia="zh-CN"/>
        </w:rPr>
      </w:pPr>
      <w:r>
        <w:rPr>
          <w:rFonts w:hint="eastAsia" w:ascii="仿宋" w:hAnsi="仿宋" w:eastAsia="仿宋"/>
          <w:sz w:val="30"/>
          <w:szCs w:val="30"/>
        </w:rPr>
        <w:t xml:space="preserve">本部门2020年度支出总计 </w:t>
      </w:r>
      <w:r>
        <w:rPr>
          <w:rFonts w:hint="eastAsia" w:ascii="仿宋" w:hAnsi="仿宋" w:eastAsia="仿宋"/>
          <w:sz w:val="30"/>
          <w:szCs w:val="30"/>
          <w:lang w:val="en-US" w:eastAsia="zh-CN"/>
        </w:rPr>
        <w:t>1290.51</w:t>
      </w:r>
      <w:r>
        <w:rPr>
          <w:rFonts w:hint="eastAsia" w:ascii="仿宋" w:hAnsi="仿宋" w:eastAsia="仿宋"/>
          <w:sz w:val="30"/>
          <w:szCs w:val="30"/>
        </w:rPr>
        <w:t>万元，其中本年支出合计1065.19万元，较2019年增长325.2</w:t>
      </w:r>
      <w:r>
        <w:rPr>
          <w:rFonts w:hint="eastAsia" w:ascii="仿宋" w:hAnsi="仿宋" w:eastAsia="仿宋"/>
          <w:sz w:val="30"/>
          <w:szCs w:val="30"/>
          <w:lang w:val="en-US" w:eastAsia="zh-CN"/>
        </w:rPr>
        <w:t>9</w:t>
      </w:r>
      <w:r>
        <w:rPr>
          <w:rFonts w:hint="eastAsia" w:ascii="仿宋" w:hAnsi="仿宋" w:eastAsia="仿宋"/>
          <w:sz w:val="30"/>
          <w:szCs w:val="30"/>
        </w:rPr>
        <w:t>万元，增长</w:t>
      </w:r>
      <w:r>
        <w:rPr>
          <w:rFonts w:hint="eastAsia" w:ascii="仿宋" w:hAnsi="仿宋" w:eastAsia="仿宋"/>
          <w:sz w:val="30"/>
          <w:szCs w:val="30"/>
          <w:lang w:val="en-US" w:eastAsia="zh-CN"/>
        </w:rPr>
        <w:t>43.96</w:t>
      </w:r>
      <w:r>
        <w:rPr>
          <w:rFonts w:hint="eastAsia" w:ascii="仿宋" w:hAnsi="仿宋" w:eastAsia="仿宋"/>
          <w:sz w:val="30"/>
          <w:szCs w:val="30"/>
        </w:rPr>
        <w:t xml:space="preserve"> %，主要原因是：</w:t>
      </w:r>
      <w:r>
        <w:rPr>
          <w:rFonts w:hint="eastAsia" w:ascii="仿宋" w:hAnsi="仿宋" w:eastAsia="仿宋"/>
          <w:sz w:val="30"/>
          <w:szCs w:val="30"/>
          <w:lang w:eastAsia="zh-CN"/>
        </w:rPr>
        <w:t>本单位于</w:t>
      </w:r>
      <w:r>
        <w:rPr>
          <w:rFonts w:hint="eastAsia" w:ascii="仿宋" w:hAnsi="仿宋" w:eastAsia="仿宋"/>
          <w:sz w:val="30"/>
          <w:szCs w:val="30"/>
          <w:lang w:val="en-US" w:eastAsia="zh-CN"/>
        </w:rPr>
        <w:t>2019年2月成立，业务开展未满一年。</w:t>
      </w:r>
      <w:r>
        <w:rPr>
          <w:rFonts w:hint="eastAsia" w:ascii="仿宋" w:hAnsi="仿宋" w:eastAsia="仿宋"/>
          <w:sz w:val="30"/>
          <w:szCs w:val="30"/>
        </w:rPr>
        <w:t>年末结转和结余64.</w:t>
      </w:r>
      <w:r>
        <w:rPr>
          <w:rFonts w:hint="eastAsia" w:ascii="仿宋" w:hAnsi="仿宋" w:eastAsia="仿宋"/>
          <w:sz w:val="30"/>
          <w:szCs w:val="30"/>
          <w:lang w:val="en-US" w:eastAsia="zh-CN"/>
        </w:rPr>
        <w:t>7</w:t>
      </w:r>
      <w:r>
        <w:rPr>
          <w:rFonts w:hint="eastAsia" w:ascii="仿宋" w:hAnsi="仿宋" w:eastAsia="仿宋"/>
          <w:sz w:val="30"/>
          <w:szCs w:val="30"/>
        </w:rPr>
        <w:t>万元，较2019年减少</w:t>
      </w:r>
      <w:r>
        <w:rPr>
          <w:rFonts w:hint="eastAsia" w:ascii="仿宋" w:hAnsi="仿宋" w:eastAsia="仿宋"/>
          <w:sz w:val="30"/>
          <w:szCs w:val="30"/>
          <w:lang w:val="en-US" w:eastAsia="zh-CN"/>
        </w:rPr>
        <w:t>54.7</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10</w:t>
      </w:r>
      <w:r>
        <w:rPr>
          <w:rFonts w:hint="eastAsia" w:ascii="仿宋" w:hAnsi="仿宋" w:eastAsia="仿宋"/>
          <w:sz w:val="30"/>
          <w:szCs w:val="30"/>
        </w:rPr>
        <w:t xml:space="preserve"> %，主要原因是：</w:t>
      </w:r>
      <w:r>
        <w:rPr>
          <w:rFonts w:hint="eastAsia" w:ascii="仿宋" w:hAnsi="仿宋" w:eastAsia="仿宋"/>
          <w:sz w:val="30"/>
          <w:szCs w:val="30"/>
          <w:lang w:eastAsia="zh-CN"/>
        </w:rPr>
        <w:t>本单位于</w:t>
      </w:r>
      <w:r>
        <w:rPr>
          <w:rFonts w:hint="eastAsia" w:ascii="仿宋" w:hAnsi="仿宋" w:eastAsia="仿宋"/>
          <w:sz w:val="30"/>
          <w:szCs w:val="30"/>
          <w:lang w:val="en-US" w:eastAsia="zh-CN"/>
        </w:rPr>
        <w:t>2019年2月成立，2019年结余是由原单位转入。</w:t>
      </w:r>
    </w:p>
    <w:p>
      <w:pPr>
        <w:ind w:firstLine="630"/>
        <w:jc w:val="left"/>
        <w:rPr>
          <w:rFonts w:hint="eastAsia" w:ascii="仿宋" w:hAnsi="仿宋" w:eastAsia="仿宋"/>
          <w:sz w:val="30"/>
          <w:szCs w:val="30"/>
        </w:rPr>
      </w:pPr>
      <w:r>
        <w:rPr>
          <w:rFonts w:hint="eastAsia" w:ascii="仿宋" w:hAnsi="仿宋" w:eastAsia="仿宋"/>
          <w:sz w:val="30"/>
          <w:szCs w:val="30"/>
        </w:rPr>
        <w:t xml:space="preserve">本年支出的具体构成为：基本支出 </w:t>
      </w:r>
      <w:r>
        <w:rPr>
          <w:rFonts w:hint="eastAsia" w:ascii="仿宋" w:hAnsi="仿宋" w:eastAsia="仿宋"/>
          <w:sz w:val="30"/>
          <w:szCs w:val="30"/>
          <w:lang w:val="en-US" w:eastAsia="zh-CN"/>
        </w:rPr>
        <w:t>101.99</w:t>
      </w:r>
      <w:r>
        <w:rPr>
          <w:rFonts w:hint="eastAsia" w:ascii="仿宋" w:hAnsi="仿宋" w:eastAsia="仿宋"/>
          <w:sz w:val="30"/>
          <w:szCs w:val="30"/>
        </w:rPr>
        <w:t>万元，占</w:t>
      </w:r>
      <w:r>
        <w:rPr>
          <w:rFonts w:hint="eastAsia" w:ascii="仿宋" w:hAnsi="仿宋" w:eastAsia="仿宋"/>
          <w:sz w:val="30"/>
          <w:szCs w:val="30"/>
          <w:lang w:val="en-US" w:eastAsia="zh-CN"/>
        </w:rPr>
        <w:t>9.57</w:t>
      </w:r>
      <w:r>
        <w:rPr>
          <w:rFonts w:hint="eastAsia" w:ascii="仿宋" w:hAnsi="仿宋" w:eastAsia="仿宋"/>
          <w:sz w:val="30"/>
          <w:szCs w:val="30"/>
        </w:rPr>
        <w:t xml:space="preserve"> %；项目支出</w:t>
      </w:r>
      <w:r>
        <w:rPr>
          <w:rFonts w:hint="eastAsia" w:ascii="仿宋" w:hAnsi="仿宋" w:eastAsia="仿宋"/>
          <w:sz w:val="30"/>
          <w:szCs w:val="30"/>
          <w:lang w:val="en-US" w:eastAsia="zh-CN"/>
        </w:rPr>
        <w:t>963.2</w:t>
      </w:r>
      <w:r>
        <w:rPr>
          <w:rFonts w:hint="eastAsia" w:ascii="仿宋" w:hAnsi="仿宋" w:eastAsia="仿宋"/>
          <w:sz w:val="30"/>
          <w:szCs w:val="30"/>
        </w:rPr>
        <w:t>万元，占 9</w:t>
      </w:r>
      <w:r>
        <w:rPr>
          <w:rFonts w:hint="eastAsia" w:ascii="仿宋" w:hAnsi="仿宋" w:eastAsia="仿宋"/>
          <w:sz w:val="30"/>
          <w:szCs w:val="30"/>
          <w:lang w:val="en-US" w:eastAsia="zh-CN"/>
        </w:rPr>
        <w:t>0.43</w:t>
      </w:r>
      <w:r>
        <w:rPr>
          <w:rFonts w:hint="eastAsia" w:ascii="仿宋" w:hAnsi="仿宋" w:eastAsia="仿宋"/>
          <w:sz w:val="30"/>
          <w:szCs w:val="30"/>
        </w:rPr>
        <w:t xml:space="preserve"> %；经营支出  0 万元，占 0 %；其他支出（对附属单位补助支出、上缴上级支出）  0 万元，占 0 %。</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 xml:space="preserve">本部门2020年度财政拨款本年支出年初预算数为 </w:t>
      </w:r>
      <w:r>
        <w:rPr>
          <w:rFonts w:hint="eastAsia" w:ascii="仿宋" w:hAnsi="仿宋" w:eastAsia="仿宋"/>
          <w:sz w:val="30"/>
          <w:szCs w:val="30"/>
          <w:lang w:val="en-US" w:eastAsia="zh-CN"/>
        </w:rPr>
        <w:t>1420.55</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1060.67</w:t>
      </w:r>
      <w:r>
        <w:rPr>
          <w:rFonts w:hint="eastAsia" w:ascii="仿宋" w:hAnsi="仿宋" w:eastAsia="仿宋"/>
          <w:sz w:val="30"/>
          <w:szCs w:val="30"/>
        </w:rPr>
        <w:t>万元，完成年初预算的</w:t>
      </w:r>
      <w:r>
        <w:rPr>
          <w:rFonts w:hint="eastAsia" w:ascii="仿宋" w:hAnsi="仿宋" w:eastAsia="仿宋"/>
          <w:sz w:val="30"/>
          <w:szCs w:val="30"/>
          <w:lang w:val="en-US" w:eastAsia="zh-CN"/>
        </w:rPr>
        <w:t>74.67</w:t>
      </w:r>
      <w:r>
        <w:rPr>
          <w:rFonts w:hint="eastAsia" w:ascii="仿宋" w:hAnsi="仿宋" w:eastAsia="仿宋"/>
          <w:sz w:val="30"/>
          <w:szCs w:val="30"/>
        </w:rPr>
        <w:t xml:space="preserve"> %。其中：</w:t>
      </w:r>
    </w:p>
    <w:p>
      <w:pPr>
        <w:numPr>
          <w:ilvl w:val="0"/>
          <w:numId w:val="3"/>
        </w:numPr>
        <w:ind w:firstLine="630"/>
        <w:jc w:val="left"/>
        <w:rPr>
          <w:rFonts w:hint="eastAsia" w:ascii="仿宋" w:hAnsi="仿宋" w:eastAsia="仿宋"/>
          <w:sz w:val="30"/>
          <w:szCs w:val="30"/>
          <w:highlight w:val="none"/>
          <w:lang w:eastAsia="zh-CN"/>
        </w:rPr>
      </w:pPr>
      <w:r>
        <w:rPr>
          <w:rFonts w:hint="eastAsia" w:ascii="仿宋" w:hAnsi="仿宋" w:eastAsia="仿宋"/>
          <w:color w:val="auto"/>
          <w:sz w:val="30"/>
          <w:szCs w:val="30"/>
          <w:highlight w:val="none"/>
        </w:rPr>
        <w:t>一般公共服务支出年初预算数为1.3万元，决算数为  1.38万元，完成年初预算的106.43%，主要原因是：</w:t>
      </w:r>
      <w:r>
        <w:rPr>
          <w:rFonts w:hint="eastAsia" w:ascii="仿宋" w:hAnsi="仿宋" w:eastAsia="仿宋"/>
          <w:sz w:val="30"/>
          <w:szCs w:val="30"/>
          <w:lang w:eastAsia="zh-CN"/>
        </w:rPr>
        <w:t>本单位于</w:t>
      </w:r>
      <w:r>
        <w:rPr>
          <w:rFonts w:hint="eastAsia" w:ascii="仿宋" w:hAnsi="仿宋" w:eastAsia="仿宋"/>
          <w:sz w:val="30"/>
          <w:szCs w:val="30"/>
          <w:lang w:val="en-US" w:eastAsia="zh-CN"/>
        </w:rPr>
        <w:t>2019年2月成立，业务开展未满一年。</w:t>
      </w:r>
    </w:p>
    <w:p>
      <w:pPr>
        <w:numPr>
          <w:ilvl w:val="0"/>
          <w:numId w:val="0"/>
        </w:numPr>
        <w:jc w:val="left"/>
        <w:rPr>
          <w:rFonts w:hint="eastAsia" w:ascii="仿宋" w:hAnsi="仿宋" w:eastAsia="仿宋"/>
          <w:color w:val="auto"/>
          <w:sz w:val="30"/>
          <w:szCs w:val="30"/>
          <w:highlight w:val="none"/>
          <w:lang w:eastAsia="zh-CN"/>
        </w:rPr>
      </w:pPr>
      <w:r>
        <w:rPr>
          <w:rFonts w:hint="eastAsia" w:ascii="仿宋" w:hAnsi="仿宋" w:eastAsia="仿宋"/>
          <w:color w:val="auto"/>
          <w:sz w:val="30"/>
          <w:szCs w:val="30"/>
          <w:highlight w:val="none"/>
        </w:rPr>
        <w:t>（二）科学技术支出年初预算数为1030万元，决算数为  1051.85万元，完成年初预算的102.03%，主要原因是：</w:t>
      </w:r>
      <w:r>
        <w:rPr>
          <w:rFonts w:hint="eastAsia" w:ascii="仿宋" w:hAnsi="仿宋" w:eastAsia="仿宋"/>
          <w:sz w:val="30"/>
          <w:szCs w:val="30"/>
          <w:lang w:eastAsia="zh-CN"/>
        </w:rPr>
        <w:t>本单位于</w:t>
      </w:r>
      <w:r>
        <w:rPr>
          <w:rFonts w:hint="eastAsia" w:ascii="仿宋" w:hAnsi="仿宋" w:eastAsia="仿宋"/>
          <w:sz w:val="30"/>
          <w:szCs w:val="30"/>
          <w:lang w:val="en-US" w:eastAsia="zh-CN"/>
        </w:rPr>
        <w:t>2019年2月成立，业务开展未满一年。</w:t>
      </w:r>
    </w:p>
    <w:p>
      <w:pPr>
        <w:ind w:firstLine="630"/>
        <w:jc w:val="left"/>
        <w:rPr>
          <w:rFonts w:hint="eastAsia" w:ascii="仿宋" w:hAnsi="仿宋" w:eastAsia="仿宋"/>
          <w:sz w:val="30"/>
          <w:szCs w:val="30"/>
          <w:lang w:val="en-US" w:eastAsia="zh-CN"/>
        </w:rPr>
      </w:pPr>
      <w:r>
        <w:rPr>
          <w:rFonts w:hint="eastAsia" w:ascii="仿宋" w:hAnsi="仿宋" w:eastAsia="仿宋"/>
          <w:color w:val="auto"/>
          <w:sz w:val="30"/>
          <w:szCs w:val="30"/>
          <w:highlight w:val="none"/>
        </w:rPr>
        <w:t>（三）社会保障和就业支出年初预算数为5.8万元，决算数为5.8</w:t>
      </w:r>
      <w:r>
        <w:rPr>
          <w:rFonts w:hint="eastAsia" w:ascii="仿宋" w:hAnsi="仿宋" w:eastAsia="仿宋"/>
          <w:color w:val="auto"/>
          <w:sz w:val="30"/>
          <w:szCs w:val="30"/>
          <w:highlight w:val="none"/>
          <w:lang w:val="en-US" w:eastAsia="zh-CN"/>
        </w:rPr>
        <w:t>1</w:t>
      </w:r>
      <w:r>
        <w:rPr>
          <w:rFonts w:hint="eastAsia" w:ascii="仿宋" w:hAnsi="仿宋" w:eastAsia="仿宋"/>
          <w:color w:val="auto"/>
          <w:sz w:val="30"/>
          <w:szCs w:val="30"/>
          <w:highlight w:val="none"/>
        </w:rPr>
        <w:t>万元，完成年初预算的100.69%，主要原因是：</w:t>
      </w:r>
      <w:r>
        <w:rPr>
          <w:rFonts w:hint="eastAsia" w:ascii="仿宋" w:hAnsi="仿宋" w:eastAsia="仿宋"/>
          <w:sz w:val="30"/>
          <w:szCs w:val="30"/>
          <w:lang w:eastAsia="zh-CN"/>
        </w:rPr>
        <w:t>本单位于</w:t>
      </w:r>
      <w:r>
        <w:rPr>
          <w:rFonts w:hint="eastAsia" w:ascii="仿宋" w:hAnsi="仿宋" w:eastAsia="仿宋"/>
          <w:sz w:val="30"/>
          <w:szCs w:val="30"/>
          <w:lang w:val="en-US" w:eastAsia="zh-CN"/>
        </w:rPr>
        <w:t>2019年2月成立，业务开展未满一年。</w:t>
      </w:r>
    </w:p>
    <w:p>
      <w:pPr>
        <w:ind w:firstLine="630"/>
        <w:jc w:val="left"/>
        <w:rPr>
          <w:rFonts w:hint="eastAsia" w:ascii="仿宋" w:hAnsi="仿宋" w:eastAsia="仿宋"/>
          <w:sz w:val="30"/>
          <w:szCs w:val="30"/>
          <w:lang w:val="en-US" w:eastAsia="zh-CN"/>
        </w:rPr>
      </w:pPr>
      <w:r>
        <w:rPr>
          <w:rFonts w:hint="eastAsia" w:ascii="仿宋" w:hAnsi="仿宋" w:eastAsia="仿宋"/>
          <w:color w:val="auto"/>
          <w:sz w:val="30"/>
          <w:szCs w:val="30"/>
          <w:highlight w:val="none"/>
          <w:lang w:eastAsia="zh-CN"/>
        </w:rPr>
        <w:t>（四）</w:t>
      </w:r>
      <w:r>
        <w:rPr>
          <w:rFonts w:hint="eastAsia" w:ascii="仿宋" w:hAnsi="仿宋" w:eastAsia="仿宋"/>
          <w:color w:val="auto"/>
          <w:sz w:val="30"/>
          <w:szCs w:val="30"/>
          <w:highlight w:val="none"/>
        </w:rPr>
        <w:t>卫生健康支出年初预算数为3.2万元，决算数为3.26万元，完成年初预算数的100.51%，主要原因是：</w:t>
      </w:r>
      <w:r>
        <w:rPr>
          <w:rFonts w:hint="eastAsia" w:ascii="仿宋" w:hAnsi="仿宋" w:eastAsia="仿宋"/>
          <w:sz w:val="30"/>
          <w:szCs w:val="30"/>
          <w:lang w:eastAsia="zh-CN"/>
        </w:rPr>
        <w:t>本单位于</w:t>
      </w:r>
      <w:r>
        <w:rPr>
          <w:rFonts w:hint="eastAsia" w:ascii="仿宋" w:hAnsi="仿宋" w:eastAsia="仿宋"/>
          <w:sz w:val="30"/>
          <w:szCs w:val="30"/>
          <w:lang w:val="en-US" w:eastAsia="zh-CN"/>
        </w:rPr>
        <w:t>2019年2月成立，业务开展未满一年。</w:t>
      </w:r>
    </w:p>
    <w:p>
      <w:pPr>
        <w:ind w:firstLine="630"/>
        <w:jc w:val="left"/>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（五）住房保障支出年初预算数为4.2万元，决算数为4.27万元，完成年初预算数的100.24%，主要原因是：</w:t>
      </w:r>
      <w:r>
        <w:rPr>
          <w:rFonts w:hint="eastAsia" w:ascii="仿宋" w:hAnsi="仿宋" w:eastAsia="仿宋"/>
          <w:sz w:val="30"/>
          <w:szCs w:val="30"/>
          <w:lang w:eastAsia="zh-CN"/>
        </w:rPr>
        <w:t>本单位于</w:t>
      </w:r>
      <w:r>
        <w:rPr>
          <w:rFonts w:hint="eastAsia" w:ascii="仿宋" w:hAnsi="仿宋" w:eastAsia="仿宋"/>
          <w:sz w:val="30"/>
          <w:szCs w:val="30"/>
          <w:lang w:val="en-US" w:eastAsia="zh-CN"/>
        </w:rPr>
        <w:t>2019年2月成立，业务开展未满一年。</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本部门2020年度一般公共预算财政拨款基本支出162.22万元，其中：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（一）工资福利支出131.76万元，较2019年增加74.71万元，增长166.71%，主要原因是：本单位于2019年2月份成立,</w:t>
      </w:r>
      <w:r>
        <w:rPr>
          <w:rFonts w:hint="eastAsia" w:ascii="仿宋" w:hAnsi="仿宋" w:eastAsia="仿宋"/>
          <w:sz w:val="30"/>
          <w:szCs w:val="30"/>
          <w:lang w:eastAsia="zh-CN"/>
        </w:rPr>
        <w:t>绩效奖金在原单位发放。</w:t>
      </w:r>
      <w:r>
        <w:rPr>
          <w:rFonts w:hint="eastAsia" w:ascii="仿宋" w:hAnsi="仿宋" w:eastAsia="仿宋"/>
          <w:sz w:val="30"/>
          <w:szCs w:val="30"/>
        </w:rPr>
        <w:t>4月开始在本单位发放工资福利。</w:t>
      </w:r>
    </w:p>
    <w:p>
      <w:pPr>
        <w:ind w:firstLine="585"/>
        <w:jc w:val="left"/>
        <w:rPr>
          <w:rFonts w:hint="eastAsia" w:ascii="仿宋" w:hAnsi="仿宋" w:eastAsia="仿宋"/>
          <w:sz w:val="30"/>
          <w:szCs w:val="30"/>
          <w:lang w:eastAsia="zh-CN"/>
        </w:rPr>
      </w:pPr>
      <w:r>
        <w:rPr>
          <w:rFonts w:hint="eastAsia" w:ascii="仿宋" w:hAnsi="仿宋" w:eastAsia="仿宋"/>
          <w:sz w:val="30"/>
          <w:szCs w:val="30"/>
        </w:rPr>
        <w:t>（二）商品和服务支出57.60万元，较2019年下降113.82万元，下降70.03%，主要原因是：</w:t>
      </w:r>
      <w:r>
        <w:rPr>
          <w:rFonts w:hint="eastAsia" w:ascii="仿宋" w:hAnsi="仿宋" w:eastAsia="仿宋"/>
          <w:sz w:val="30"/>
          <w:szCs w:val="30"/>
          <w:lang w:val="en-US" w:eastAsia="zh-CN"/>
        </w:rPr>
        <w:t>2019年</w:t>
      </w:r>
      <w:r>
        <w:rPr>
          <w:rFonts w:hint="eastAsia" w:ascii="仿宋" w:hAnsi="仿宋" w:eastAsia="仿宋"/>
          <w:sz w:val="30"/>
          <w:szCs w:val="30"/>
          <w:lang w:eastAsia="zh-CN"/>
        </w:rPr>
        <w:t>开展大型活动。</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（三）对个人和家庭补助支出5.78万元，较2019年增加3.71万元，增长278.8%，主要原因是：本单位于2019年2月份成立，4月开始在本单位发放工资福利。</w:t>
      </w:r>
    </w:p>
    <w:p>
      <w:pPr>
        <w:ind w:firstLine="585"/>
        <w:jc w:val="left"/>
        <w:rPr>
          <w:rFonts w:hint="eastAsia" w:ascii="仿宋" w:hAnsi="仿宋" w:eastAsia="仿宋"/>
          <w:sz w:val="30"/>
          <w:szCs w:val="30"/>
        </w:rPr>
      </w:pPr>
      <w:r>
        <w:rPr>
          <w:rFonts w:hint="eastAsia" w:ascii="仿宋" w:hAnsi="仿宋" w:eastAsia="仿宋"/>
          <w:sz w:val="30"/>
          <w:szCs w:val="30"/>
        </w:rPr>
        <w:t>（四）资本性支出6.35万元，较2019年增加（减少）0万元，增长（下降）0%，主要原因是：本单位于2019年2月份成立。</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本部门2020年度一般公共预算财政拨款“三公”经费支出年初预算数为 15  万元，决算数为 12.21万元，完成预算的 77.15 %，决算数较2019年增减少5.47万元，下降30.94 %，其中：</w:t>
      </w:r>
    </w:p>
    <w:p>
      <w:pPr>
        <w:ind w:firstLine="630"/>
        <w:jc w:val="left"/>
        <w:rPr>
          <w:rFonts w:ascii="仿宋" w:hAnsi="仿宋" w:eastAsia="仿宋"/>
          <w:sz w:val="30"/>
          <w:szCs w:val="30"/>
        </w:rPr>
      </w:pPr>
      <w:r>
        <w:rPr>
          <w:rFonts w:hint="eastAsia" w:ascii="仿宋" w:hAnsi="仿宋" w:eastAsia="仿宋"/>
          <w:sz w:val="30"/>
          <w:szCs w:val="30"/>
        </w:rPr>
        <w:t>（一）因公出国（境）支出年初预算数为  0 万元，决算数为 0 万元，完成预算的 %，决算数较2019年增加（减少）0  万元，增长（下降） 0 %，主要原因是无人员因公出国（境）。决算数较年初预算数增加（减少）的主要原因是：无人员因公出国（境）。全年安排因公出国（境）团组 0 个，累计 0 人次，主要为：无人员因公出国（境）。</w:t>
      </w:r>
    </w:p>
    <w:p>
      <w:pPr>
        <w:ind w:firstLine="630"/>
        <w:jc w:val="left"/>
        <w:rPr>
          <w:rFonts w:ascii="仿宋" w:hAnsi="仿宋" w:eastAsia="仿宋"/>
          <w:sz w:val="30"/>
          <w:szCs w:val="30"/>
        </w:rPr>
      </w:pPr>
      <w:r>
        <w:rPr>
          <w:rFonts w:hint="eastAsia" w:ascii="仿宋" w:hAnsi="仿宋" w:eastAsia="仿宋"/>
          <w:sz w:val="30"/>
          <w:szCs w:val="30"/>
        </w:rPr>
        <w:t>（二）公务接待费支出年初预算数为 15万元，决算数为  12.21万元，完成预算的 81.4%，决算数较2019年减少 5.47万元，下降30.94 %，主要原因是减少三公经费支出。决算数较年初预算数减少的主要原因是：减少三公经费支出。全年国内公务接待 90 批，累计接待 352 人次，其中外事接待 0  批，累计接待 352 人次，主要为：商务及公务接待。</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 0  万元，其中公务用车购置年初预算数为 0  万元，决算数为 0 万元，完成预算的 0%，决算数较2019年增加（减少）0  万元，增长（下降） 0 %，主要原因是无公务用车，全年购置公务用车 0  辆。决算数较年初预算数增加（减少）的主要原因是：无公务用车；公务用车运行维护费支出年初预算数为  0 万元，决算数为 0 万元，完成预算的0 %，决算数较2019年增加（减少）0  万元，增长（下降） 0%，主要原因是无公务用车，年末公务用车保有 0 辆。决算数较年初预算数增加（减少）的主要原因是：无公务用车。</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本部门2020年度机关运行经费支出170.23万元（与部门决算中行政单位和参照公务员法管理事业单位一般公共预算财政拨款基本支出中公用经费之和一致），较年初预算数（或者上年决算数）减少 7.5</w:t>
      </w:r>
      <w:r>
        <w:rPr>
          <w:rFonts w:hint="eastAsia" w:ascii="仿宋" w:hAnsi="仿宋" w:eastAsia="仿宋"/>
          <w:sz w:val="30"/>
          <w:szCs w:val="30"/>
          <w:lang w:val="en-US" w:eastAsia="zh-CN"/>
        </w:rPr>
        <w:t>5</w:t>
      </w:r>
      <w:r>
        <w:rPr>
          <w:rFonts w:hint="eastAsia" w:ascii="仿宋" w:hAnsi="仿宋" w:eastAsia="仿宋"/>
          <w:sz w:val="30"/>
          <w:szCs w:val="30"/>
        </w:rPr>
        <w:t xml:space="preserve"> 万元，降低95.75 %，主要原因是：落实过紧日子要求压减三公支出。</w:t>
      </w:r>
    </w:p>
    <w:p>
      <w:pPr>
        <w:ind w:firstLine="630"/>
        <w:jc w:val="left"/>
        <w:rPr>
          <w:rFonts w:ascii="黑体" w:hAnsi="黑体" w:eastAsia="黑体"/>
          <w:sz w:val="30"/>
          <w:szCs w:val="30"/>
        </w:rPr>
      </w:pPr>
      <w:r>
        <w:rPr>
          <w:rFonts w:hint="eastAsia" w:ascii="仿宋" w:hAnsi="仿宋" w:eastAsia="仿宋"/>
          <w:sz w:val="30"/>
          <w:szCs w:val="30"/>
        </w:rPr>
        <w:t xml:space="preserve"> </w:t>
      </w:r>
      <w:r>
        <w:rPr>
          <w:rFonts w:hint="eastAsia" w:ascii="黑体" w:hAnsi="黑体" w:eastAsia="黑体"/>
          <w:sz w:val="30"/>
          <w:szCs w:val="30"/>
        </w:rPr>
        <w:t>七、政府采购支出情况说明</w:t>
      </w:r>
    </w:p>
    <w:p>
      <w:pPr>
        <w:pStyle w:val="13"/>
        <w:spacing w:line="600" w:lineRule="atLeast"/>
        <w:ind w:firstLine="600"/>
        <w:rPr>
          <w:rFonts w:hint="eastAsia" w:ascii="仿宋" w:hAnsi="仿宋" w:eastAsia="仿宋"/>
          <w:sz w:val="30"/>
          <w:szCs w:val="30"/>
        </w:rPr>
      </w:pPr>
      <w:r>
        <w:rPr>
          <w:rFonts w:hint="eastAsia" w:ascii="仿宋" w:hAnsi="仿宋" w:eastAsia="仿宋"/>
          <w:sz w:val="30"/>
          <w:szCs w:val="30"/>
        </w:rPr>
        <w:t>本部门2020年度政府采购支出总额 0.35 万元，其中：政府采购货物支出 0.35 万元、政府采购工程支出 0 万元、政府采购服务支出  0万元。授予中小企业合同金额  0万元，占政府采购支出总额的 0 %，其中：授予小微企业合同金额 0 万元，占政府采购支出总额的 0 %。（部门公开的政府采购金额的计算口径为：本部门纳入2020年部门预算范围的各项政府采购支出金额之和，不包括涉密采购项目的支出金额。）</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截止2020年12月31日，本部门（单位）国有资产占用情况见公开10表《国有资产占用情况表》。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w:t>
      </w:r>
      <w:r>
        <w:rPr>
          <w:rFonts w:hint="eastAsia" w:ascii="仿宋" w:hAnsi="仿宋" w:eastAsia="仿宋" w:cs="仿宋_GB2312"/>
          <w:kern w:val="0"/>
          <w:sz w:val="30"/>
          <w:szCs w:val="30"/>
        </w:rPr>
        <w:t xml:space="preserve">20年度一般公共预算项目支出所有二级项目 8个全面开展绩效自评，共涉及资金  1065.19万元，占一般公共预算项目支出总额的 102.03 %。    </w:t>
      </w:r>
    </w:p>
    <w:p>
      <w:pPr>
        <w:autoSpaceDE w:val="0"/>
        <w:autoSpaceDN w:val="0"/>
        <w:adjustRightInd w:val="0"/>
        <w:spacing w:line="360" w:lineRule="auto"/>
        <w:ind w:firstLine="600"/>
        <w:jc w:val="left"/>
        <w:rPr>
          <w:rFonts w:hint="eastAsia" w:ascii="仿宋" w:hAnsi="仿宋" w:eastAsia="仿宋" w:cs="仿宋"/>
          <w:kern w:val="0"/>
          <w:sz w:val="32"/>
          <w:szCs w:val="32"/>
        </w:rPr>
      </w:pPr>
      <w:r>
        <w:rPr>
          <w:rFonts w:hint="eastAsia" w:ascii="仿宋" w:hAnsi="仿宋" w:eastAsia="仿宋" w:cs="仿宋"/>
          <w:kern w:val="0"/>
          <w:sz w:val="32"/>
          <w:szCs w:val="32"/>
        </w:rPr>
        <w:t>组织对“</w:t>
      </w:r>
      <w:r>
        <w:rPr>
          <w:rFonts w:hint="eastAsia" w:ascii="仿宋" w:hAnsi="仿宋" w:eastAsia="仿宋" w:cs="仿宋"/>
          <w:bCs/>
          <w:sz w:val="32"/>
          <w:szCs w:val="32"/>
        </w:rPr>
        <w:t>高新技术企业奖励资金</w:t>
      </w:r>
      <w:r>
        <w:rPr>
          <w:rFonts w:hint="eastAsia" w:ascii="仿宋" w:hAnsi="仿宋" w:eastAsia="仿宋" w:cs="仿宋"/>
          <w:kern w:val="0"/>
          <w:sz w:val="32"/>
          <w:szCs w:val="32"/>
        </w:rPr>
        <w:t>”、“</w:t>
      </w:r>
      <w:r>
        <w:rPr>
          <w:rFonts w:hint="eastAsia" w:ascii="仿宋" w:hAnsi="仿宋" w:eastAsia="仿宋" w:cs="仿宋"/>
          <w:bCs/>
          <w:sz w:val="32"/>
          <w:szCs w:val="32"/>
        </w:rPr>
        <w:t>中国纺织科学研究院共青分院运行经费</w:t>
      </w:r>
      <w:r>
        <w:rPr>
          <w:rFonts w:hint="eastAsia" w:ascii="仿宋" w:hAnsi="仿宋" w:eastAsia="仿宋" w:cs="仿宋"/>
          <w:kern w:val="0"/>
          <w:sz w:val="32"/>
          <w:szCs w:val="32"/>
        </w:rPr>
        <w:t>”、“</w:t>
      </w:r>
      <w:r>
        <w:rPr>
          <w:rFonts w:hint="eastAsia" w:ascii="仿宋" w:hAnsi="仿宋" w:eastAsia="仿宋" w:cs="仿宋"/>
          <w:bCs/>
          <w:sz w:val="32"/>
          <w:szCs w:val="32"/>
        </w:rPr>
        <w:t>2018年研发投入企业奖励资金</w:t>
      </w:r>
      <w:r>
        <w:rPr>
          <w:rFonts w:hint="eastAsia" w:ascii="仿宋" w:hAnsi="仿宋" w:eastAsia="仿宋" w:cs="仿宋"/>
          <w:kern w:val="0"/>
          <w:sz w:val="32"/>
          <w:szCs w:val="32"/>
        </w:rPr>
        <w:t>”</w:t>
      </w:r>
      <w:r>
        <w:rPr>
          <w:rFonts w:hint="eastAsia" w:ascii="仿宋" w:hAnsi="仿宋" w:eastAsia="仿宋" w:cs="仿宋"/>
          <w:bCs/>
          <w:sz w:val="32"/>
          <w:szCs w:val="32"/>
        </w:rPr>
        <w:t>、“创新平台培育工作经费”、“高新技术企业培育工作经费”、“工程技术研究中心等项目奖励经费”、“省级技术计划专项经费”、“科技农业项目经费”</w:t>
      </w:r>
      <w:r>
        <w:rPr>
          <w:rFonts w:hint="eastAsia" w:ascii="仿宋" w:hAnsi="仿宋" w:eastAsia="仿宋" w:cs="仿宋"/>
          <w:kern w:val="0"/>
          <w:sz w:val="32"/>
          <w:szCs w:val="32"/>
        </w:rPr>
        <w:t>等 8个项目开展了部门评价，涉及一般公共预算支出 938 万元，政府性基金预算支出 1080 万元。</w:t>
      </w:r>
    </w:p>
    <w:p>
      <w:pPr>
        <w:autoSpaceDE w:val="0"/>
        <w:autoSpaceDN w:val="0"/>
        <w:adjustRightInd w:val="0"/>
        <w:spacing w:line="360" w:lineRule="auto"/>
        <w:ind w:firstLine="585"/>
        <w:jc w:val="left"/>
        <w:rPr>
          <w:rFonts w:ascii="仿宋" w:hAnsi="仿宋" w:eastAsia="仿宋" w:cs="仿宋_GB2312"/>
          <w:kern w:val="0"/>
          <w:sz w:val="30"/>
          <w:szCs w:val="30"/>
        </w:rPr>
      </w:pPr>
      <w:r>
        <w:rPr>
          <w:rFonts w:hint="eastAsia" w:ascii="仿宋" w:hAnsi="仿宋" w:eastAsia="仿宋" w:cs="仿宋_GB2312"/>
          <w:kern w:val="0"/>
          <w:sz w:val="30"/>
          <w:szCs w:val="30"/>
        </w:rPr>
        <w:t>（二）部门决算中项目绩效自评结果。（应当将2020年度部门决算项目绩效自评综述和《项目支出绩效自评表》进行公开。）</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我部门今年在省级部门决算中反映项目绩效自评</w:t>
      </w:r>
      <w:r>
        <w:rPr>
          <w:rFonts w:hint="eastAsia" w:ascii="仿宋" w:hAnsi="仿宋" w:eastAsia="仿宋" w:cs="仿宋"/>
          <w:bCs/>
          <w:sz w:val="30"/>
          <w:szCs w:val="30"/>
        </w:rPr>
        <w:t>高新技术企业奖励资金</w:t>
      </w:r>
      <w:r>
        <w:rPr>
          <w:rFonts w:hint="eastAsia" w:ascii="仿宋" w:hAnsi="仿宋" w:eastAsia="仿宋" w:cs="仿宋_GB2312"/>
          <w:kern w:val="0"/>
          <w:sz w:val="30"/>
          <w:szCs w:val="30"/>
        </w:rPr>
        <w:t>结果。</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
          <w:bCs/>
          <w:sz w:val="30"/>
          <w:szCs w:val="30"/>
        </w:rPr>
        <w:t>高新技术企业奖励资金</w:t>
      </w:r>
      <w:r>
        <w:rPr>
          <w:rFonts w:hint="eastAsia" w:ascii="仿宋" w:hAnsi="仿宋" w:eastAsia="仿宋" w:cs="仿宋_GB2312"/>
          <w:kern w:val="0"/>
          <w:sz w:val="30"/>
          <w:szCs w:val="30"/>
        </w:rPr>
        <w:t>项目绩效自评综述：根据年初设定的绩效目标，</w:t>
      </w:r>
      <w:r>
        <w:rPr>
          <w:rFonts w:hint="eastAsia" w:ascii="仿宋" w:hAnsi="仿宋" w:eastAsia="仿宋" w:cs="仿宋"/>
          <w:bCs/>
          <w:sz w:val="30"/>
          <w:szCs w:val="30"/>
        </w:rPr>
        <w:t>高新技术企业奖励资金</w:t>
      </w:r>
      <w:r>
        <w:rPr>
          <w:rFonts w:hint="eastAsia" w:ascii="仿宋" w:hAnsi="仿宋" w:eastAsia="仿宋" w:cs="仿宋_GB2312"/>
          <w:kern w:val="0"/>
          <w:sz w:val="30"/>
          <w:szCs w:val="30"/>
        </w:rPr>
        <w:t>项目绩效自评得分为100分。项目全年预算数为770万元，执行数为770万元，完成预算的100%。</w:t>
      </w:r>
    </w:p>
    <w:p>
      <w:pPr>
        <w:autoSpaceDE w:val="0"/>
        <w:autoSpaceDN w:val="0"/>
        <w:adjustRightInd w:val="0"/>
        <w:spacing w:line="360" w:lineRule="auto"/>
        <w:ind w:firstLine="600"/>
        <w:jc w:val="left"/>
        <w:rPr>
          <w:rFonts w:hint="eastAsia" w:ascii="仿宋" w:hAnsi="仿宋" w:eastAsia="仿宋" w:cs="仿宋_GB2312"/>
          <w:kern w:val="0"/>
          <w:sz w:val="30"/>
          <w:szCs w:val="30"/>
        </w:rPr>
      </w:pPr>
    </w:p>
    <w:p>
      <w:pPr>
        <w:autoSpaceDE w:val="0"/>
        <w:autoSpaceDN w:val="0"/>
        <w:adjustRightInd w:val="0"/>
        <w:spacing w:line="360" w:lineRule="auto"/>
        <w:ind w:firstLine="600"/>
        <w:jc w:val="left"/>
        <w:rPr>
          <w:rFonts w:hint="eastAsia" w:ascii="仿宋" w:hAnsi="仿宋" w:eastAsia="仿宋" w:cs="仿宋_GB2312"/>
          <w:kern w:val="0"/>
          <w:sz w:val="30"/>
          <w:szCs w:val="30"/>
        </w:rPr>
      </w:pPr>
    </w:p>
    <w:p>
      <w:pPr>
        <w:autoSpaceDE w:val="0"/>
        <w:autoSpaceDN w:val="0"/>
        <w:adjustRightInd w:val="0"/>
        <w:spacing w:line="360" w:lineRule="auto"/>
        <w:ind w:firstLine="600"/>
        <w:jc w:val="left"/>
        <w:rPr>
          <w:rFonts w:hint="eastAsia" w:ascii="仿宋" w:hAnsi="仿宋" w:eastAsia="仿宋" w:cs="仿宋_GB2312"/>
          <w:kern w:val="0"/>
          <w:sz w:val="30"/>
          <w:szCs w:val="30"/>
        </w:rPr>
      </w:pPr>
      <w:r>
        <w:drawing>
          <wp:inline distT="0" distB="0" distL="114300" distR="114300">
            <wp:extent cx="5269865" cy="6182995"/>
            <wp:effectExtent l="0" t="0" r="0" b="8255"/>
            <wp:docPr id="11"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0"/>
                    <pic:cNvPicPr>
                      <a:picLocks noChangeAspect="1"/>
                    </pic:cNvPicPr>
                  </pic:nvPicPr>
                  <pic:blipFill>
                    <a:blip r:embed="rId14"/>
                    <a:stretch>
                      <a:fillRect/>
                    </a:stretch>
                  </pic:blipFill>
                  <pic:spPr>
                    <a:xfrm>
                      <a:off x="0" y="0"/>
                      <a:ext cx="5269865" cy="6182995"/>
                    </a:xfrm>
                    <a:prstGeom prst="rect">
                      <a:avLst/>
                    </a:prstGeom>
                    <a:noFill/>
                    <a:ln>
                      <a:noFill/>
                    </a:ln>
                  </pic:spPr>
                </pic:pic>
              </a:graphicData>
            </a:graphic>
          </wp:inline>
        </w:drawing>
      </w:r>
    </w:p>
    <w:p>
      <w:pPr>
        <w:autoSpaceDE w:val="0"/>
        <w:autoSpaceDN w:val="0"/>
        <w:adjustRightInd w:val="0"/>
        <w:spacing w:line="360" w:lineRule="auto"/>
        <w:ind w:firstLine="600"/>
        <w:jc w:val="left"/>
        <w:rPr>
          <w:rFonts w:hint="eastAsia" w:ascii="仿宋" w:hAnsi="仿宋" w:eastAsia="仿宋" w:cs="仿宋_GB2312"/>
          <w:kern w:val="0"/>
          <w:sz w:val="30"/>
          <w:szCs w:val="30"/>
        </w:rPr>
      </w:pPr>
    </w:p>
    <w:p>
      <w:pPr>
        <w:autoSpaceDE w:val="0"/>
        <w:autoSpaceDN w:val="0"/>
        <w:adjustRightInd w:val="0"/>
        <w:spacing w:line="360" w:lineRule="auto"/>
        <w:ind w:firstLine="600"/>
        <w:jc w:val="left"/>
        <w:rPr>
          <w:rFonts w:hint="eastAsia" w:ascii="仿宋" w:hAnsi="仿宋" w:eastAsia="仿宋" w:cs="仿宋_GB2312"/>
          <w:kern w:val="0"/>
          <w:sz w:val="30"/>
          <w:szCs w:val="30"/>
        </w:rPr>
      </w:pPr>
    </w:p>
    <w:p>
      <w:pPr>
        <w:bidi w:val="0"/>
        <w:jc w:val="left"/>
        <w:rPr>
          <w:rFonts w:hint="eastAsia"/>
        </w:rPr>
      </w:pPr>
      <w:r>
        <w:br w:type="page"/>
      </w: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13"/>
        <w:spacing w:line="600" w:lineRule="atLeast"/>
        <w:ind w:firstLine="600"/>
        <w:rPr>
          <w:rFonts w:hint="eastAsia" w:ascii="仿宋" w:hAnsi="仿宋" w:eastAsia="仿宋"/>
          <w:sz w:val="30"/>
          <w:szCs w:val="30"/>
        </w:rPr>
      </w:pPr>
    </w:p>
    <w:p>
      <w:pPr>
        <w:shd w:val="clear" w:color="auto" w:fill="FFFFFF"/>
        <w:spacing w:line="390" w:lineRule="atLeast"/>
        <w:ind w:firstLine="600" w:firstLineChars="200"/>
        <w:rPr>
          <w:rStyle w:val="9"/>
          <w:rFonts w:hint="eastAsia" w:ascii="仿宋" w:hAnsi="仿宋" w:eastAsia="仿宋" w:cs="仿宋"/>
          <w:sz w:val="30"/>
          <w:szCs w:val="30"/>
        </w:rPr>
      </w:pPr>
      <w:r>
        <w:rPr>
          <w:rFonts w:hint="eastAsia" w:ascii="仿宋" w:hAnsi="仿宋" w:eastAsia="仿宋" w:cs="仿宋"/>
          <w:color w:val="444444"/>
          <w:sz w:val="30"/>
          <w:szCs w:val="30"/>
        </w:rPr>
        <w:t>一、收入科目</w:t>
      </w:r>
    </w:p>
    <w:p>
      <w:pPr>
        <w:shd w:val="clear" w:color="auto" w:fill="FFFFFF"/>
        <w:spacing w:line="390" w:lineRule="atLeast"/>
        <w:ind w:firstLine="600" w:firstLineChars="200"/>
        <w:rPr>
          <w:rFonts w:hint="eastAsia" w:ascii="仿宋" w:hAnsi="仿宋" w:eastAsia="仿宋" w:cs="仿宋"/>
          <w:color w:val="444444"/>
          <w:sz w:val="30"/>
          <w:szCs w:val="30"/>
        </w:rPr>
      </w:pPr>
      <w:r>
        <w:rPr>
          <w:rFonts w:hint="eastAsia" w:ascii="仿宋" w:hAnsi="仿宋" w:eastAsia="仿宋" w:cs="仿宋"/>
          <w:color w:val="444444"/>
          <w:sz w:val="30"/>
          <w:szCs w:val="30"/>
        </w:rPr>
        <w:t>（一）财政拨款：指市级财政当年拨付的资金。</w:t>
      </w:r>
    </w:p>
    <w:p>
      <w:pPr>
        <w:shd w:val="clear" w:color="auto" w:fill="FFFFFF"/>
        <w:spacing w:line="390" w:lineRule="atLeast"/>
        <w:ind w:firstLine="600" w:firstLineChars="200"/>
        <w:rPr>
          <w:rFonts w:hint="eastAsia" w:ascii="仿宋" w:hAnsi="仿宋" w:eastAsia="仿宋" w:cs="仿宋"/>
          <w:color w:val="444444"/>
          <w:sz w:val="30"/>
          <w:szCs w:val="30"/>
        </w:rPr>
      </w:pPr>
      <w:r>
        <w:rPr>
          <w:rFonts w:hint="eastAsia" w:ascii="仿宋" w:hAnsi="仿宋" w:eastAsia="仿宋" w:cs="仿宋"/>
          <w:color w:val="444444"/>
          <w:sz w:val="30"/>
          <w:szCs w:val="30"/>
        </w:rPr>
        <w:t>（二）事业收入：指事业单位开展专业业务活动及辅助活动取得的收入。</w:t>
      </w:r>
    </w:p>
    <w:p>
      <w:pPr>
        <w:shd w:val="clear" w:color="auto" w:fill="FFFFFF"/>
        <w:spacing w:line="390" w:lineRule="atLeast"/>
        <w:ind w:firstLine="600" w:firstLineChars="200"/>
        <w:rPr>
          <w:rFonts w:hint="eastAsia" w:ascii="仿宋" w:hAnsi="仿宋" w:eastAsia="仿宋" w:cs="仿宋"/>
          <w:color w:val="444444"/>
          <w:sz w:val="30"/>
          <w:szCs w:val="30"/>
        </w:rPr>
      </w:pPr>
      <w:r>
        <w:rPr>
          <w:rFonts w:hint="eastAsia" w:ascii="仿宋" w:hAnsi="仿宋" w:eastAsia="仿宋" w:cs="仿宋"/>
          <w:color w:val="444444"/>
          <w:sz w:val="30"/>
          <w:szCs w:val="30"/>
        </w:rPr>
        <w:t>（三）其他收入：指除财政拨款、事业收入等以外的各项收入。</w:t>
      </w:r>
    </w:p>
    <w:p>
      <w:pPr>
        <w:shd w:val="clear" w:color="auto" w:fill="FFFFFF"/>
        <w:spacing w:line="390" w:lineRule="atLeast"/>
        <w:ind w:firstLine="600" w:firstLineChars="200"/>
        <w:rPr>
          <w:rFonts w:hint="eastAsia" w:ascii="仿宋" w:hAnsi="仿宋" w:eastAsia="仿宋" w:cs="仿宋"/>
          <w:color w:val="444444"/>
          <w:sz w:val="30"/>
          <w:szCs w:val="30"/>
        </w:rPr>
      </w:pPr>
      <w:r>
        <w:rPr>
          <w:rFonts w:hint="eastAsia" w:ascii="仿宋" w:hAnsi="仿宋" w:eastAsia="仿宋" w:cs="仿宋"/>
          <w:color w:val="444444"/>
          <w:sz w:val="30"/>
          <w:szCs w:val="30"/>
        </w:rPr>
        <w:t>（四）上级补助收入：反映事业单位从主管部门和上级单位取得的非财政补助收入。</w:t>
      </w:r>
    </w:p>
    <w:p>
      <w:pPr>
        <w:shd w:val="clear" w:color="auto" w:fill="FFFFFF"/>
        <w:spacing w:line="390" w:lineRule="atLeast"/>
        <w:ind w:firstLine="600" w:firstLineChars="200"/>
        <w:rPr>
          <w:rFonts w:hint="eastAsia" w:ascii="仿宋" w:hAnsi="仿宋" w:eastAsia="仿宋" w:cs="仿宋"/>
          <w:color w:val="444444"/>
          <w:sz w:val="30"/>
          <w:szCs w:val="30"/>
        </w:rPr>
      </w:pPr>
      <w:r>
        <w:rPr>
          <w:rFonts w:hint="eastAsia" w:ascii="仿宋" w:hAnsi="仿宋" w:eastAsia="仿宋" w:cs="仿宋"/>
          <w:color w:val="444444"/>
          <w:sz w:val="30"/>
          <w:szCs w:val="30"/>
        </w:rPr>
        <w:t>（五）上年结转和结余：填列2019年全部结转和结余的资金数，包括当年结转结余资金和历年滚存结转结余资金。</w:t>
      </w:r>
    </w:p>
    <w:p>
      <w:pPr>
        <w:shd w:val="clear" w:color="auto" w:fill="FFFFFF"/>
        <w:spacing w:line="390" w:lineRule="atLeast"/>
        <w:ind w:firstLine="600" w:firstLineChars="200"/>
        <w:rPr>
          <w:rFonts w:hint="eastAsia" w:ascii="仿宋" w:hAnsi="仿宋" w:eastAsia="仿宋" w:cs="仿宋"/>
          <w:color w:val="444444"/>
          <w:sz w:val="30"/>
          <w:szCs w:val="30"/>
        </w:rPr>
      </w:pPr>
      <w:r>
        <w:rPr>
          <w:rFonts w:hint="eastAsia" w:ascii="仿宋" w:hAnsi="仿宋" w:eastAsia="仿宋" w:cs="仿宋"/>
          <w:color w:val="444444"/>
          <w:sz w:val="30"/>
          <w:szCs w:val="30"/>
        </w:rPr>
        <w:t>二、支出科目</w:t>
      </w:r>
    </w:p>
    <w:p>
      <w:pPr>
        <w:shd w:val="clear" w:color="auto" w:fill="FFFFFF"/>
        <w:spacing w:line="390" w:lineRule="atLeast"/>
        <w:ind w:firstLine="600" w:firstLineChars="200"/>
        <w:rPr>
          <w:rFonts w:hint="eastAsia" w:ascii="仿宋" w:hAnsi="仿宋" w:eastAsia="仿宋" w:cs="仿宋"/>
          <w:color w:val="444444"/>
          <w:sz w:val="30"/>
          <w:szCs w:val="30"/>
        </w:rPr>
      </w:pPr>
      <w:r>
        <w:rPr>
          <w:rFonts w:hint="eastAsia" w:ascii="仿宋" w:hAnsi="仿宋" w:eastAsia="仿宋" w:cs="仿宋"/>
          <w:color w:val="444444"/>
          <w:sz w:val="30"/>
          <w:szCs w:val="30"/>
        </w:rPr>
        <w:t xml:space="preserve"> （一）行政运行：反应行政单位的基本支出。</w:t>
      </w:r>
    </w:p>
    <w:p>
      <w:pPr>
        <w:shd w:val="clear" w:color="auto" w:fill="FFFFFF"/>
        <w:spacing w:line="390" w:lineRule="atLeast"/>
        <w:ind w:firstLine="600" w:firstLineChars="200"/>
        <w:rPr>
          <w:rFonts w:hint="eastAsia" w:ascii="仿宋" w:hAnsi="仿宋" w:eastAsia="仿宋" w:cs="仿宋"/>
          <w:color w:val="444444"/>
          <w:sz w:val="30"/>
          <w:szCs w:val="30"/>
        </w:rPr>
      </w:pPr>
      <w:r>
        <w:rPr>
          <w:rFonts w:hint="eastAsia" w:ascii="仿宋" w:hAnsi="仿宋" w:eastAsia="仿宋" w:cs="仿宋"/>
          <w:color w:val="444444"/>
          <w:sz w:val="30"/>
          <w:szCs w:val="30"/>
        </w:rPr>
        <w:t xml:space="preserve"> （二）其他科学管理事务支出：反应其他用于科学技术管理事务方面的支出。</w:t>
      </w:r>
    </w:p>
    <w:p>
      <w:pPr>
        <w:shd w:val="clear" w:color="auto" w:fill="FFFFFF"/>
        <w:spacing w:line="390" w:lineRule="atLeast"/>
        <w:ind w:firstLine="600" w:firstLineChars="200"/>
        <w:rPr>
          <w:rFonts w:hint="eastAsia" w:ascii="仿宋" w:hAnsi="仿宋" w:eastAsia="仿宋" w:cs="仿宋"/>
          <w:color w:val="444444"/>
          <w:sz w:val="30"/>
          <w:szCs w:val="30"/>
        </w:rPr>
      </w:pPr>
      <w:r>
        <w:rPr>
          <w:rFonts w:hint="eastAsia" w:ascii="仿宋" w:hAnsi="仿宋" w:eastAsia="仿宋" w:cs="仿宋"/>
          <w:color w:val="444444"/>
          <w:sz w:val="30"/>
          <w:szCs w:val="30"/>
        </w:rPr>
        <w:t xml:space="preserve"> （三）机构运行：反应各类研究与开发机构的基本支出。</w:t>
      </w:r>
    </w:p>
    <w:p>
      <w:pPr>
        <w:shd w:val="clear" w:color="auto" w:fill="FFFFFF"/>
        <w:spacing w:line="390" w:lineRule="atLeast"/>
        <w:ind w:firstLine="600" w:firstLineChars="200"/>
        <w:rPr>
          <w:rFonts w:hint="eastAsia" w:ascii="仿宋" w:hAnsi="仿宋" w:eastAsia="仿宋" w:cs="仿宋"/>
          <w:color w:val="444444"/>
          <w:sz w:val="30"/>
          <w:szCs w:val="30"/>
        </w:rPr>
      </w:pPr>
      <w:r>
        <w:rPr>
          <w:rFonts w:hint="eastAsia" w:ascii="仿宋" w:hAnsi="仿宋" w:eastAsia="仿宋" w:cs="仿宋"/>
          <w:color w:val="444444"/>
          <w:sz w:val="30"/>
          <w:szCs w:val="30"/>
        </w:rPr>
        <w:t xml:space="preserve"> （四）技术研究与开发：反应从事技术开发研究和近期可望取得实用价值的专项技术开发研究的支出或国家推进产业发展中重大、共性、关键性技术研究与开发，加速产业技术进步和结构调整等方面的支出。</w:t>
      </w:r>
    </w:p>
    <w:p>
      <w:pPr>
        <w:shd w:val="clear" w:color="auto" w:fill="FFFFFF"/>
        <w:spacing w:line="390" w:lineRule="atLeast"/>
        <w:ind w:firstLine="600" w:firstLineChars="200"/>
        <w:rPr>
          <w:rFonts w:hint="eastAsia" w:ascii="仿宋" w:hAnsi="仿宋" w:eastAsia="仿宋" w:cs="仿宋"/>
          <w:color w:val="444444"/>
          <w:sz w:val="30"/>
          <w:szCs w:val="30"/>
        </w:rPr>
      </w:pPr>
      <w:r>
        <w:rPr>
          <w:rFonts w:hint="eastAsia" w:ascii="仿宋" w:hAnsi="仿宋" w:eastAsia="仿宋" w:cs="仿宋"/>
          <w:color w:val="444444"/>
          <w:sz w:val="30"/>
          <w:szCs w:val="30"/>
        </w:rPr>
        <w:t xml:space="preserve"> （五）技术创新服务体系：反应国家为企业提供信息、技术、中介等全方位服务和支持，建立健全企业技术服务体系等方面的支出。</w:t>
      </w:r>
    </w:p>
    <w:p>
      <w:pPr>
        <w:shd w:val="clear" w:color="auto" w:fill="FFFFFF"/>
        <w:spacing w:line="390" w:lineRule="atLeast"/>
        <w:ind w:firstLine="600" w:firstLineChars="200"/>
        <w:rPr>
          <w:rFonts w:hint="eastAsia" w:ascii="仿宋" w:hAnsi="仿宋" w:eastAsia="仿宋" w:cs="仿宋"/>
          <w:color w:val="444444"/>
          <w:sz w:val="30"/>
          <w:szCs w:val="30"/>
        </w:rPr>
      </w:pPr>
      <w:r>
        <w:rPr>
          <w:rFonts w:hint="eastAsia" w:ascii="仿宋" w:hAnsi="仿宋" w:eastAsia="仿宋" w:cs="仿宋"/>
          <w:color w:val="444444"/>
          <w:sz w:val="30"/>
          <w:szCs w:val="30"/>
        </w:rPr>
        <w:t xml:space="preserve"> （六）其他科技条件与服务支出：反应用于其他科技条件与服务方面的支出。</w:t>
      </w:r>
    </w:p>
    <w:p>
      <w:pPr>
        <w:shd w:val="clear" w:color="auto" w:fill="FFFFFF"/>
        <w:spacing w:line="390" w:lineRule="atLeast"/>
        <w:ind w:firstLine="600" w:firstLineChars="200"/>
        <w:rPr>
          <w:rFonts w:hint="eastAsia" w:ascii="仿宋" w:hAnsi="仿宋" w:eastAsia="仿宋" w:cs="仿宋"/>
          <w:color w:val="444444"/>
          <w:sz w:val="30"/>
          <w:szCs w:val="30"/>
        </w:rPr>
      </w:pPr>
      <w:r>
        <w:rPr>
          <w:rFonts w:hint="eastAsia" w:ascii="仿宋" w:hAnsi="仿宋" w:eastAsia="仿宋" w:cs="仿宋"/>
          <w:color w:val="444444"/>
          <w:sz w:val="30"/>
          <w:szCs w:val="30"/>
        </w:rPr>
        <w:t xml:space="preserve"> （七）机关事业单位养老保险缴费：反应单位为职工缴纳的基本养老保险费。</w:t>
      </w:r>
    </w:p>
    <w:p>
      <w:pPr>
        <w:shd w:val="clear" w:color="auto" w:fill="FFFFFF"/>
        <w:spacing w:line="390" w:lineRule="atLeast"/>
        <w:ind w:firstLine="600" w:firstLineChars="200"/>
        <w:rPr>
          <w:rFonts w:hint="eastAsia" w:ascii="仿宋" w:hAnsi="仿宋" w:eastAsia="仿宋" w:cs="仿宋"/>
          <w:color w:val="444444"/>
          <w:sz w:val="30"/>
          <w:szCs w:val="30"/>
        </w:rPr>
      </w:pPr>
      <w:r>
        <w:rPr>
          <w:rFonts w:hint="eastAsia" w:ascii="仿宋" w:hAnsi="仿宋" w:eastAsia="仿宋" w:cs="仿宋"/>
          <w:color w:val="444444"/>
          <w:sz w:val="30"/>
          <w:szCs w:val="30"/>
        </w:rPr>
        <w:t xml:space="preserve"> （八）行政单位医疗：反应单位为职工缴纳的基本医疗保险费。</w:t>
      </w:r>
    </w:p>
    <w:p>
      <w:pPr>
        <w:shd w:val="clear" w:color="auto" w:fill="FFFFFF"/>
        <w:spacing w:line="390" w:lineRule="atLeast"/>
        <w:ind w:firstLine="600" w:firstLineChars="200"/>
        <w:rPr>
          <w:rFonts w:hint="eastAsia" w:ascii="宋体" w:hAnsi="宋体" w:cs="宋体"/>
          <w:color w:val="444444"/>
          <w:sz w:val="32"/>
          <w:szCs w:val="20"/>
        </w:rPr>
      </w:pPr>
      <w:r>
        <w:rPr>
          <w:rFonts w:hint="eastAsia" w:ascii="仿宋" w:hAnsi="仿宋" w:eastAsia="仿宋" w:cs="仿宋"/>
          <w:color w:val="444444"/>
          <w:sz w:val="30"/>
          <w:szCs w:val="30"/>
        </w:rPr>
        <w:t xml:space="preserve"> （九）住房公积金：反应单位按规定为职工缴纳的住房公积金。</w:t>
      </w:r>
    </w:p>
    <w:p/>
    <w:p>
      <w:pPr>
        <w:rPr>
          <w:rFonts w:hint="eastAsia"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 xml:space="preserve"> </w:t>
      </w:r>
    </w:p>
    <w:p>
      <w:pPr>
        <w:spacing w:line="360" w:lineRule="auto"/>
        <w:rPr>
          <w:rFonts w:ascii="仿宋" w:hAnsi="仿宋" w:eastAsia="仿宋"/>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1AB64"/>
    <w:multiLevelType w:val="singleLevel"/>
    <w:tmpl w:val="CEF1AB64"/>
    <w:lvl w:ilvl="0" w:tentative="0">
      <w:start w:val="8"/>
      <w:numFmt w:val="chineseCounting"/>
      <w:suff w:val="nothing"/>
      <w:lvlText w:val="%1、"/>
      <w:lvlJc w:val="left"/>
      <w:pPr>
        <w:ind w:left="1280" w:firstLine="0"/>
      </w:pPr>
      <w:rPr>
        <w:rFonts w:hint="eastAsia"/>
      </w:rPr>
    </w:lvl>
  </w:abstractNum>
  <w:abstractNum w:abstractNumId="1">
    <w:nsid w:val="5A966EC8"/>
    <w:multiLevelType w:val="singleLevel"/>
    <w:tmpl w:val="5A966EC8"/>
    <w:lvl w:ilvl="0" w:tentative="0">
      <w:start w:val="2"/>
      <w:numFmt w:val="chineseCounting"/>
      <w:suff w:val="nothing"/>
      <w:lvlText w:val="%1、"/>
      <w:lvlJc w:val="left"/>
    </w:lvl>
  </w:abstractNum>
  <w:abstractNum w:abstractNumId="2">
    <w:nsid w:val="634EFC93"/>
    <w:multiLevelType w:val="singleLevel"/>
    <w:tmpl w:val="634EFC93"/>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00172A27"/>
    <w:rsid w:val="00023654"/>
    <w:rsid w:val="00903CA6"/>
    <w:rsid w:val="00C86F98"/>
    <w:rsid w:val="076D374E"/>
    <w:rsid w:val="0D743922"/>
    <w:rsid w:val="165F267C"/>
    <w:rsid w:val="16FC47B8"/>
    <w:rsid w:val="17636C08"/>
    <w:rsid w:val="17E91755"/>
    <w:rsid w:val="195A6CF6"/>
    <w:rsid w:val="1B562253"/>
    <w:rsid w:val="1C9F6334"/>
    <w:rsid w:val="24201257"/>
    <w:rsid w:val="2D4058B2"/>
    <w:rsid w:val="2D9519C3"/>
    <w:rsid w:val="345F502E"/>
    <w:rsid w:val="36716B17"/>
    <w:rsid w:val="3BCC3B88"/>
    <w:rsid w:val="3BD60934"/>
    <w:rsid w:val="3D0F50C1"/>
    <w:rsid w:val="4226008C"/>
    <w:rsid w:val="4859756D"/>
    <w:rsid w:val="4EED34E2"/>
    <w:rsid w:val="508634C3"/>
    <w:rsid w:val="57202DBC"/>
    <w:rsid w:val="57C35C95"/>
    <w:rsid w:val="589B7671"/>
    <w:rsid w:val="5B692AD4"/>
    <w:rsid w:val="67874F61"/>
    <w:rsid w:val="6A344FA1"/>
    <w:rsid w:val="6B5C3ABA"/>
    <w:rsid w:val="6D622942"/>
    <w:rsid w:val="784E0692"/>
    <w:rsid w:val="7C3D4A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f" stroke="f">
      <v:fill on="f"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7">
    <w:name w:val="Default Paragraph Font"/>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jc w:val="left"/>
    </w:pPr>
    <w:rPr>
      <w:rFonts w:ascii="宋体" w:hAnsi="宋体" w:cs="宋体"/>
      <w:kern w:val="0"/>
      <w:sz w:val="24"/>
    </w:rPr>
  </w:style>
  <w:style w:type="character" w:styleId="8">
    <w:name w:val="page number"/>
    <w:qFormat/>
    <w:uiPriority w:val="0"/>
  </w:style>
  <w:style w:type="character" w:styleId="9">
    <w:name w:val="Hyperlink"/>
    <w:qFormat/>
    <w:uiPriority w:val="0"/>
    <w:rPr>
      <w:color w:val="0000FF"/>
      <w:u w:val="single"/>
    </w:rPr>
  </w:style>
  <w:style w:type="character" w:customStyle="1" w:styleId="10">
    <w:name w:val="批注框文本 字符"/>
    <w:link w:val="2"/>
    <w:uiPriority w:val="0"/>
    <w:rPr>
      <w:sz w:val="18"/>
      <w:szCs w:val="18"/>
    </w:rPr>
  </w:style>
  <w:style w:type="character" w:customStyle="1" w:styleId="11">
    <w:name w:val="页脚 字符"/>
    <w:link w:val="3"/>
    <w:uiPriority w:val="0"/>
    <w:rPr>
      <w:sz w:val="18"/>
      <w:szCs w:val="18"/>
    </w:rPr>
  </w:style>
  <w:style w:type="character" w:customStyle="1" w:styleId="12">
    <w:name w:val="页眉 字符"/>
    <w:link w:val="4"/>
    <w:uiPriority w:val="0"/>
    <w:rPr>
      <w:sz w:val="18"/>
      <w:szCs w:val="18"/>
    </w:rPr>
  </w:style>
  <w:style w:type="paragraph" w:customStyle="1" w:styleId="13">
    <w:name w:val="p0"/>
    <w:basedOn w:val="1"/>
    <w:uiPriority w:val="0"/>
    <w:pPr>
      <w:widowControl/>
    </w:pPr>
    <w:rPr>
      <w:kern w:val="0"/>
      <w:szCs w:val="21"/>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17</Pages>
  <Words>4077</Words>
  <Characters>4503</Characters>
  <Lines>34</Lines>
  <Paragraphs>9</Paragraphs>
  <TotalTime>2</TotalTime>
  <ScaleCrop>false</ScaleCrop>
  <LinksUpToDate>false</LinksUpToDate>
  <CharactersWithSpaces>4737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李嘉玉</dc:creator>
  <cp:lastModifiedBy>单车</cp:lastModifiedBy>
  <cp:lastPrinted>2021-07-30T09:51:00Z</cp:lastPrinted>
  <dcterms:modified xsi:type="dcterms:W3CDTF">2023-09-12T02:59:37Z</dcterms:modified>
  <dc:title>李嘉玉</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1567C0F5143747BDBE8C73C0087D33DA_13</vt:lpwstr>
  </property>
</Properties>
</file>