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CD08B">
      <w:pPr>
        <w:jc w:val="center"/>
        <w:rPr>
          <w:rFonts w:hint="default" w:ascii="方正小标宋简体" w:hAnsi="方正小标宋简体" w:eastAsia="方正小标宋简体" w:cs="方正小标宋简体"/>
          <w:b/>
          <w:bCs/>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auto"/>
          <w:spacing w:val="0"/>
          <w:sz w:val="44"/>
          <w:szCs w:val="44"/>
          <w:shd w:val="clear" w:fill="FFFFFF"/>
          <w:lang w:val="en-US" w:eastAsia="zh-CN"/>
        </w:rPr>
        <w:t>共青城市儿童（孤儿）福利补贴认定指南</w:t>
      </w:r>
    </w:p>
    <w:p w14:paraId="705535DC">
      <w:pPr>
        <w:ind w:firstLine="643" w:firstLineChars="200"/>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一、儿童类别</w:t>
      </w:r>
    </w:p>
    <w:p w14:paraId="6113935E">
      <w:pPr>
        <w:ind w:firstLine="643" w:firstLineChars="200"/>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1.孤儿</w:t>
      </w:r>
    </w:p>
    <w:p w14:paraId="374B0874">
      <w:pPr>
        <w:ind w:firstLine="640" w:firstLineChars="200"/>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孤儿是指失去父母、查找不到生父母的未满18周岁的未成年人。</w:t>
      </w:r>
    </w:p>
    <w:p w14:paraId="2051AB08">
      <w:pPr>
        <w:ind w:firstLine="643" w:firstLineChars="200"/>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2.</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事实无人抚养儿童</w:t>
      </w:r>
    </w:p>
    <w:p w14:paraId="2CCEF039">
      <w:pPr>
        <w:pStyle w:val="4"/>
        <w:widowControl/>
        <w:spacing w:line="580" w:lineRule="exact"/>
        <w:ind w:firstLine="640" w:firstLineChars="200"/>
        <w:jc w:val="both"/>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仿宋_GB2312" w:hAnsi="仿宋" w:eastAsia="仿宋_GB2312" w:cs="仿宋"/>
          <w:sz w:val="32"/>
          <w:szCs w:val="32"/>
        </w:rPr>
        <w:t>指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w:t>
      </w:r>
    </w:p>
    <w:p w14:paraId="23B4BC3C">
      <w:pPr>
        <w:jc w:val="center"/>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drawing>
          <wp:inline distT="0" distB="0" distL="114300" distR="114300">
            <wp:extent cx="4180840" cy="2304415"/>
            <wp:effectExtent l="0" t="0" r="10160" b="635"/>
            <wp:docPr id="12" name="图片 12" descr="8726da865b7cfa8e76fe3bb449df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726da865b7cfa8e76fe3bb449dfac8"/>
                    <pic:cNvPicPr>
                      <a:picLocks noChangeAspect="1"/>
                    </pic:cNvPicPr>
                  </pic:nvPicPr>
                  <pic:blipFill>
                    <a:blip r:embed="rId4"/>
                    <a:srcRect l="10471" t="2603" r="10012"/>
                    <a:stretch>
                      <a:fillRect/>
                    </a:stretch>
                  </pic:blipFill>
                  <pic:spPr>
                    <a:xfrm>
                      <a:off x="0" y="0"/>
                      <a:ext cx="4180840" cy="2304415"/>
                    </a:xfrm>
                    <a:prstGeom prst="rect">
                      <a:avLst/>
                    </a:prstGeom>
                  </pic:spPr>
                </pic:pic>
              </a:graphicData>
            </a:graphic>
          </wp:inline>
        </w:drawing>
      </w:r>
    </w:p>
    <w:p w14:paraId="7843AEA2">
      <w:pPr>
        <w:ind w:firstLine="643" w:firstLineChars="200"/>
        <w:jc w:val="left"/>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重残</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一级二级残疾或三级四级精神、智力残疾；</w:t>
      </w:r>
      <w:r>
        <w:rPr>
          <w:rFonts w:hint="eastAsia" w:ascii="仿宋_GB2312" w:hAnsi="仿宋_GB2312" w:eastAsia="仿宋_GB2312" w:cs="仿宋_GB2312"/>
          <w:b/>
          <w:bCs/>
          <w:i w:val="0"/>
          <w:iCs w:val="0"/>
          <w:caps w:val="0"/>
          <w:color w:val="auto"/>
          <w:spacing w:val="0"/>
          <w:sz w:val="32"/>
          <w:szCs w:val="32"/>
          <w:shd w:val="clear" w:fill="FFFFFF"/>
          <w:lang w:val="en-US" w:eastAsia="zh-CN"/>
        </w:rPr>
        <w:t>重病</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根据当地大病、地方病等实际情况确定；</w:t>
      </w:r>
      <w:r>
        <w:rPr>
          <w:rFonts w:hint="eastAsia" w:ascii="仿宋_GB2312" w:hAnsi="仿宋_GB2312" w:eastAsia="仿宋_GB2312" w:cs="仿宋_GB2312"/>
          <w:b/>
          <w:bCs/>
          <w:i w:val="0"/>
          <w:iCs w:val="0"/>
          <w:caps w:val="0"/>
          <w:color w:val="auto"/>
          <w:spacing w:val="0"/>
          <w:sz w:val="32"/>
          <w:szCs w:val="32"/>
          <w:shd w:val="clear" w:fill="FFFFFF"/>
          <w:lang w:val="en-US" w:eastAsia="zh-CN"/>
        </w:rPr>
        <w:t>失联</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是指失去联系且未履行监护抚养责任6个月以上；</w:t>
      </w:r>
      <w:r>
        <w:rPr>
          <w:rFonts w:hint="eastAsia" w:ascii="仿宋_GB2312" w:hAnsi="仿宋_GB2312" w:eastAsia="仿宋_GB2312" w:cs="仿宋_GB2312"/>
          <w:b/>
          <w:bCs/>
          <w:i w:val="0"/>
          <w:iCs w:val="0"/>
          <w:caps w:val="0"/>
          <w:color w:val="auto"/>
          <w:spacing w:val="0"/>
          <w:sz w:val="32"/>
          <w:szCs w:val="32"/>
          <w:shd w:val="clear" w:fill="FFFFFF"/>
          <w:lang w:val="en-US" w:eastAsia="zh-CN"/>
        </w:rPr>
        <w:t>服刑在押、强制隔离戒毒或被执行其他限制人身自由</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的措施是指期限在6个月以上；</w:t>
      </w:r>
      <w:r>
        <w:rPr>
          <w:rFonts w:hint="eastAsia" w:ascii="仿宋_GB2312" w:hAnsi="仿宋_GB2312" w:eastAsia="仿宋_GB2312" w:cs="仿宋_GB2312"/>
          <w:b/>
          <w:bCs/>
          <w:i w:val="0"/>
          <w:iCs w:val="0"/>
          <w:caps w:val="0"/>
          <w:color w:val="auto"/>
          <w:spacing w:val="0"/>
          <w:sz w:val="32"/>
          <w:szCs w:val="32"/>
          <w:shd w:val="clear" w:fill="FFFFFF"/>
          <w:lang w:val="en-US" w:eastAsia="zh-CN"/>
        </w:rPr>
        <w:t>死亡</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是指自然死亡或人民法院宣告死亡;</w:t>
      </w:r>
      <w:r>
        <w:rPr>
          <w:rFonts w:hint="eastAsia" w:ascii="仿宋_GB2312" w:hAnsi="仿宋_GB2312" w:eastAsia="仿宋_GB2312" w:cs="仿宋_GB2312"/>
          <w:b/>
          <w:bCs/>
          <w:i w:val="0"/>
          <w:iCs w:val="0"/>
          <w:caps w:val="0"/>
          <w:color w:val="auto"/>
          <w:spacing w:val="0"/>
          <w:sz w:val="32"/>
          <w:szCs w:val="32"/>
          <w:shd w:val="clear" w:fill="FFFFFF"/>
          <w:lang w:val="en-US" w:eastAsia="zh-CN"/>
        </w:rPr>
        <w:t>失踪</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是指人民法院宣告失踪。</w:t>
      </w:r>
    </w:p>
    <w:p w14:paraId="0DB80360">
      <w:pPr>
        <w:ind w:firstLine="643" w:firstLineChars="200"/>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3.残疾孤儿（事实无人抚养儿童）</w:t>
      </w:r>
    </w:p>
    <w:p w14:paraId="3AF8FBEA">
      <w:pPr>
        <w:ind w:firstLine="640" w:firstLineChars="200"/>
        <w:jc w:val="left"/>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具有残疾证的孤儿（事实无人抚养儿童）或持有残疾评定指定医院、县及县以上具备医疗诊断资质的专业机构出具的0-6岁（不满7周岁）残疾孤儿（残疾事实无人抚养儿童）诊断报告。</w:t>
      </w:r>
    </w:p>
    <w:p w14:paraId="23310A54">
      <w:pPr>
        <w:pStyle w:val="4"/>
        <w:widowControl/>
        <w:tabs>
          <w:tab w:val="left" w:pos="2534"/>
        </w:tabs>
        <w:spacing w:line="360" w:lineRule="atLeast"/>
        <w:ind w:firstLine="643" w:firstLineChars="200"/>
        <w:jc w:val="both"/>
        <w:rPr>
          <w:rFonts w:hint="default" w:ascii="黑体" w:hAnsi="黑体" w:eastAsia="黑体" w:cs="黑体"/>
          <w:b/>
          <w:bCs/>
          <w:i w:val="0"/>
          <w:iCs w:val="0"/>
          <w:caps w:val="0"/>
          <w:color w:val="auto"/>
          <w:spacing w:val="0"/>
          <w:kern w:val="2"/>
          <w:sz w:val="32"/>
          <w:szCs w:val="32"/>
          <w:shd w:val="clear" w:fill="FFFFFF"/>
          <w:lang w:val="en-US" w:eastAsia="zh-CN" w:bidi="ar-SA"/>
        </w:rPr>
      </w:pPr>
      <w:r>
        <w:rPr>
          <w:rFonts w:hint="eastAsia" w:ascii="黑体" w:hAnsi="黑体" w:eastAsia="黑体" w:cs="黑体"/>
          <w:b/>
          <w:bCs/>
          <w:i w:val="0"/>
          <w:iCs w:val="0"/>
          <w:caps w:val="0"/>
          <w:color w:val="auto"/>
          <w:spacing w:val="0"/>
          <w:kern w:val="2"/>
          <w:sz w:val="32"/>
          <w:szCs w:val="32"/>
          <w:shd w:val="clear" w:fill="FFFFFF"/>
          <w:lang w:val="en-US" w:eastAsia="zh-CN" w:bidi="ar-SA"/>
        </w:rPr>
        <w:t>二、申请程序</w:t>
      </w:r>
    </w:p>
    <w:p w14:paraId="05172EE1">
      <w:pPr>
        <w:pStyle w:val="4"/>
        <w:widowControl/>
        <w:tabs>
          <w:tab w:val="left" w:pos="2534"/>
        </w:tabs>
        <w:spacing w:line="360" w:lineRule="atLeast"/>
        <w:ind w:firstLine="643" w:firstLineChars="200"/>
        <w:jc w:val="both"/>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（1）孤儿、事实无人抚养儿童申请认定</w:t>
      </w:r>
    </w:p>
    <w:p w14:paraId="427D5A70">
      <w:pPr>
        <w:pStyle w:val="4"/>
        <w:widowControl/>
        <w:tabs>
          <w:tab w:val="left" w:pos="2534"/>
        </w:tabs>
        <w:spacing w:line="360" w:lineRule="atLeast"/>
        <w:ind w:firstLine="640" w:firstLineChars="200"/>
        <w:jc w:val="both"/>
        <w:rPr>
          <w:rFonts w:hint="eastAsia" w:ascii="楷体_GB2312" w:hAnsi="楷体_GB2312" w:eastAsia="楷体_GB2312" w:cs="楷体_GB2312"/>
          <w:b/>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申请——</w:t>
      </w:r>
      <w:r>
        <w:rPr>
          <w:rFonts w:hint="eastAsia" w:ascii="楷体_GB2312" w:hAnsi="楷体_GB2312" w:eastAsia="楷体_GB2312" w:cs="楷体_GB2312"/>
          <w:b/>
          <w:bCs/>
          <w:sz w:val="32"/>
          <w:szCs w:val="32"/>
        </w:rPr>
        <w:t>查验</w:t>
      </w:r>
      <w:r>
        <w:rPr>
          <w:rFonts w:hint="eastAsia" w:ascii="楷体_GB2312" w:hAnsi="楷体_GB2312" w:eastAsia="楷体_GB2312" w:cs="楷体_GB2312"/>
          <w:b/>
          <w:bCs/>
          <w:sz w:val="32"/>
          <w:szCs w:val="32"/>
          <w:lang w:eastAsia="zh-CN"/>
        </w:rPr>
        <w:t>（</w:t>
      </w:r>
      <w:r>
        <w:rPr>
          <w:rFonts w:hint="eastAsia" w:ascii="仿宋_GB2312" w:hAnsi="仿宋" w:eastAsia="仿宋_GB2312" w:cs="仿宋"/>
          <w:sz w:val="32"/>
          <w:szCs w:val="32"/>
        </w:rPr>
        <w:t>乡镇</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街道</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15个工作工作日内通过部门信息比对的方式查验儿童父母情况，作出查验结论。无法通过部门信息比对核验的，可由儿童本人或其监护人、亲属协助提供必要补充材料。</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确认</w:t>
      </w:r>
      <w:r>
        <w:rPr>
          <w:rFonts w:hint="eastAsia" w:ascii="楷体_GB2312" w:hAnsi="楷体_GB2312" w:eastAsia="楷体_GB2312" w:cs="楷体_GB2312"/>
          <w:b/>
          <w:bCs/>
          <w:sz w:val="32"/>
          <w:szCs w:val="32"/>
          <w:lang w:eastAsia="zh-CN"/>
        </w:rPr>
        <w:t>（</w:t>
      </w:r>
      <w:r>
        <w:rPr>
          <w:rFonts w:hint="eastAsia" w:ascii="仿宋_GB2312" w:hAnsi="仿宋" w:eastAsia="仿宋_GB2312" w:cs="仿宋"/>
          <w:sz w:val="32"/>
          <w:szCs w:val="32"/>
        </w:rPr>
        <w:t>县级民政部门15个工作日内作出确认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符合条件的，认定为事实无人抚养儿童，录入“全国儿童福利信息管理系统”，并从次月起发放基本生活补贴。不符合条件的，应当书面说明理由。</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sz w:val="32"/>
          <w:szCs w:val="32"/>
        </w:rPr>
        <w:t>终止</w:t>
      </w:r>
      <w:r>
        <w:rPr>
          <w:rFonts w:hint="eastAsia" w:ascii="楷体_GB2312" w:hAnsi="楷体_GB2312" w:eastAsia="楷体_GB2312" w:cs="楷体_GB2312"/>
          <w:b/>
          <w:sz w:val="32"/>
          <w:szCs w:val="32"/>
          <w:lang w:eastAsia="zh-CN"/>
        </w:rPr>
        <w:t>（</w:t>
      </w:r>
      <w:r>
        <w:rPr>
          <w:rFonts w:hint="eastAsia" w:ascii="仿宋_GB2312" w:hAnsi="仿宋" w:eastAsia="仿宋_GB2312" w:cs="仿宋"/>
          <w:sz w:val="32"/>
          <w:szCs w:val="32"/>
        </w:rPr>
        <w:t>规定保障情形发生变化的，监护人或受监护人委托的近亲属或所在村（居）民委员会应当及时告知乡镇人民政府（街道办事处）。乡镇人民政府（街道办事处）和县级民政部门要加强信息</w:t>
      </w:r>
      <w:r>
        <w:rPr>
          <w:rFonts w:hint="eastAsia" w:ascii="仿宋_GB2312" w:hAnsi="仿宋" w:eastAsia="仿宋_GB2312" w:cs="仿宋"/>
          <w:b/>
          <w:bCs/>
          <w:sz w:val="32"/>
          <w:szCs w:val="32"/>
        </w:rPr>
        <w:t>动态管理</w:t>
      </w:r>
      <w:r>
        <w:rPr>
          <w:rFonts w:hint="eastAsia" w:ascii="仿宋_GB2312" w:hAnsi="仿宋" w:eastAsia="仿宋_GB2312" w:cs="仿宋"/>
          <w:sz w:val="32"/>
          <w:szCs w:val="32"/>
        </w:rPr>
        <w:t>，对不再符合保障情形的，</w:t>
      </w:r>
      <w:r>
        <w:rPr>
          <w:rFonts w:hint="eastAsia" w:ascii="仿宋_GB2312" w:hAnsi="仿宋" w:eastAsia="仿宋_GB2312" w:cs="仿宋"/>
          <w:color w:val="000000"/>
          <w:sz w:val="32"/>
          <w:szCs w:val="32"/>
        </w:rPr>
        <w:t>终止其保障资格，并及时退出信息系统。</w:t>
      </w:r>
      <w:r>
        <w:rPr>
          <w:rFonts w:hint="eastAsia" w:ascii="楷体_GB2312" w:hAnsi="楷体_GB2312" w:eastAsia="楷体_GB2312" w:cs="楷体_GB2312"/>
          <w:b/>
          <w:sz w:val="32"/>
          <w:szCs w:val="32"/>
          <w:lang w:eastAsia="zh-CN"/>
        </w:rPr>
        <w:t>）</w:t>
      </w:r>
    </w:p>
    <w:p w14:paraId="40379174">
      <w:pPr>
        <w:numPr>
          <w:ilvl w:val="0"/>
          <w:numId w:val="0"/>
        </w:numPr>
        <w:ind w:firstLine="643" w:firstLineChars="200"/>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（2）事实无人抚养儿童精准保障“一事一议”</w:t>
      </w:r>
    </w:p>
    <w:p w14:paraId="4F067ED4">
      <w:pPr>
        <w:numPr>
          <w:ilvl w:val="0"/>
          <w:numId w:val="0"/>
        </w:numPr>
        <w:ind w:firstLine="640"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2023年6月《九江市民政局办公室关于印发《九江市事实无人抚养儿童精准保障“一事一议”实施办法（试行）》的通知》（九民办字〔2023〕21 号）。</w:t>
      </w:r>
    </w:p>
    <w:p w14:paraId="743295AA">
      <w:pPr>
        <w:numPr>
          <w:ilvl w:val="0"/>
          <w:numId w:val="0"/>
        </w:numPr>
        <w:ind w:firstLine="643" w:firstLineChars="200"/>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default" w:ascii="Calibri" w:hAnsi="Calibri" w:eastAsia="仿宋_GB2312" w:cs="Calibri"/>
          <w:b/>
          <w:bCs/>
          <w:i w:val="0"/>
          <w:iCs w:val="0"/>
          <w:caps w:val="0"/>
          <w:color w:val="auto"/>
          <w:spacing w:val="0"/>
          <w:sz w:val="32"/>
          <w:szCs w:val="32"/>
          <w:highlight w:val="none"/>
          <w:shd w:val="clear" w:fill="FFFFFF"/>
          <w:lang w:val="en-US" w:eastAsia="zh-CN"/>
        </w:rPr>
        <w:t>①</w:t>
      </w: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可以进行“一事一议”情形</w:t>
      </w:r>
    </w:p>
    <w:p w14:paraId="55198CEE">
      <w:pPr>
        <w:numPr>
          <w:ilvl w:val="0"/>
          <w:numId w:val="0"/>
        </w:numPr>
        <w:ind w:firstLine="643" w:firstLineChars="200"/>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情形一：</w:t>
      </w: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儿童因父母一方死亡、服刑在押、失踪、失联、被执行其他限制人身自由的措施，另一方出走或已组成另外家庭实际未履行监护抚养义务 6 个月以上，</w:t>
      </w: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且</w:t>
      </w: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另一方和儿童都已纳入最低生活保障的。</w:t>
      </w:r>
    </w:p>
    <w:p w14:paraId="6E673A5E">
      <w:pPr>
        <w:numPr>
          <w:ilvl w:val="0"/>
          <w:numId w:val="0"/>
        </w:numPr>
        <w:ind w:firstLine="643" w:firstLineChars="200"/>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情形二：</w:t>
      </w: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儿童因父（母）亲死亡或重病重残无监护能力，母（父）亲与他人结婚，女（男）方因家庭特别困难及家庭关系等原因，无力履行监护义务，</w:t>
      </w: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且</w:t>
      </w: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儿童已纳入最低生活保障的。</w:t>
      </w:r>
    </w:p>
    <w:p w14:paraId="30DE93BE">
      <w:pPr>
        <w:numPr>
          <w:ilvl w:val="0"/>
          <w:numId w:val="0"/>
        </w:numPr>
        <w:ind w:firstLine="640" w:firstLineChars="200"/>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其它需要启动一事一议的特殊情形。</w:t>
      </w:r>
    </w:p>
    <w:p w14:paraId="367FD0BE">
      <w:pPr>
        <w:numPr>
          <w:ilvl w:val="0"/>
          <w:numId w:val="0"/>
        </w:numPr>
        <w:ind w:firstLine="643" w:firstLineChars="200"/>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default" w:ascii="Calibri" w:hAnsi="Calibri" w:eastAsia="仿宋_GB2312" w:cs="Calibri"/>
          <w:b/>
          <w:bCs/>
          <w:i w:val="0"/>
          <w:iCs w:val="0"/>
          <w:caps w:val="0"/>
          <w:color w:val="auto"/>
          <w:spacing w:val="0"/>
          <w:sz w:val="32"/>
          <w:szCs w:val="32"/>
          <w:highlight w:val="none"/>
          <w:shd w:val="clear" w:fill="FFFFFF"/>
          <w:lang w:val="en-US" w:eastAsia="zh-CN"/>
        </w:rPr>
        <w:t>②</w:t>
      </w: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办理程序</w:t>
      </w:r>
    </w:p>
    <w:p w14:paraId="1E694CA6">
      <w:pPr>
        <w:numPr>
          <w:ilvl w:val="0"/>
          <w:numId w:val="0"/>
        </w:numPr>
        <w:ind w:firstLine="643" w:firstLineChars="200"/>
        <w:rPr>
          <w:rFonts w:hint="eastAsia" w:ascii="楷体_GB2312" w:hAnsi="楷体_GB2312" w:eastAsia="楷体_GB2312" w:cs="楷体_GB2312"/>
          <w:b/>
          <w:sz w:val="32"/>
          <w:szCs w:val="32"/>
          <w:lang w:eastAsia="zh-CN"/>
        </w:rPr>
      </w:pP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提出申请</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（由村（居）委员会或乡镇（街道）提出方案，并填写《共青城市事实无人抚养儿童精准保障“一事一议”申请表》，详细写明困难情形，并提供相关佐证材料报送至县级民政部门。）——</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实地查验</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（县级民政部门应当自收到申请之日起 15 个工作日内，通过部门信息比对方式查验儿童父母情况，作出查验结论。并采取入户调查、邻里访问、信函索证等方式进行核实情况）——</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民主评议</w:t>
      </w:r>
      <w:bookmarkStart w:id="0" w:name="_GoBack"/>
      <w:bookmarkEnd w:id="0"/>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民主评议会原则上由乡镇（街道）儿童督导员和儿童主任负责组织。参加评议人员由县级未成年人保护工作委员会相关部门人员、村（居）党组织和村（居）委会成员、儿童督导员、儿童主任熟悉村（居）民情况的党员代表、村（居）民代表等组成，一般不得少于 10 人。评议时可邀请纪检监察部门派人参加民主评议，并对评议过程进行监督。）——</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结果认定</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（根据民主评议结果，县级民政部门对符合条件的在 15 个工作日内，作出结果认定。）——</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动态管理</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（如父（母）另外组成家庭经济条件改善，不再享受最低生活保障，及时退出事实无人抚养儿童保障。）</w:t>
      </w:r>
    </w:p>
    <w:p w14:paraId="37E5F2AA">
      <w:pPr>
        <w:pStyle w:val="4"/>
        <w:widowControl/>
        <w:tabs>
          <w:tab w:val="left" w:pos="2534"/>
        </w:tabs>
        <w:spacing w:line="360" w:lineRule="atLeast"/>
        <w:ind w:firstLine="643" w:firstLineChars="200"/>
        <w:jc w:val="both"/>
        <w:rPr>
          <w:rFonts w:hint="eastAsia" w:ascii="黑体" w:hAnsi="黑体" w:eastAsia="黑体" w:cs="黑体"/>
          <w:b/>
          <w:bCs/>
          <w:i w:val="0"/>
          <w:iCs w:val="0"/>
          <w:caps w:val="0"/>
          <w:color w:val="auto"/>
          <w:spacing w:val="0"/>
          <w:kern w:val="2"/>
          <w:sz w:val="32"/>
          <w:szCs w:val="32"/>
          <w:shd w:val="clear" w:fill="FFFFFF"/>
          <w:lang w:val="en-US" w:eastAsia="zh-CN" w:bidi="ar-SA"/>
        </w:rPr>
      </w:pPr>
      <w:r>
        <w:rPr>
          <w:rFonts w:hint="eastAsia" w:ascii="黑体" w:hAnsi="黑体" w:eastAsia="黑体" w:cs="黑体"/>
          <w:b/>
          <w:bCs/>
          <w:i w:val="0"/>
          <w:iCs w:val="0"/>
          <w:caps w:val="0"/>
          <w:color w:val="auto"/>
          <w:spacing w:val="0"/>
          <w:kern w:val="2"/>
          <w:sz w:val="32"/>
          <w:szCs w:val="32"/>
          <w:shd w:val="clear" w:fill="FFFFFF"/>
          <w:lang w:val="en-US" w:eastAsia="zh-CN" w:bidi="ar-SA"/>
        </w:rPr>
        <w:t>三、保障政策</w:t>
      </w:r>
    </w:p>
    <w:p w14:paraId="1975C4C3">
      <w:pPr>
        <w:pStyle w:val="4"/>
        <w:widowControl/>
        <w:tabs>
          <w:tab w:val="left" w:pos="2534"/>
        </w:tabs>
        <w:spacing w:line="360" w:lineRule="atLeast"/>
        <w:ind w:firstLine="643" w:firstLineChars="200"/>
        <w:jc w:val="both"/>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1.基本生活保障</w:t>
      </w:r>
    </w:p>
    <w:p w14:paraId="235A444C">
      <w:pPr>
        <w:numPr>
          <w:ilvl w:val="0"/>
          <w:numId w:val="0"/>
        </w:numPr>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孤儿、事实无人抚养儿童发放基本生活补贴</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标准：1450元/月</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已获得最低生活保障金、特困人员救助供养金或困难残疾人生活补贴且未达到事实无人抚养儿童基本生活补贴标准的进行补差发放</w:t>
      </w:r>
      <w:r>
        <w:rPr>
          <w:rFonts w:hint="eastAsia" w:ascii="仿宋_GB2312" w:hAnsi="仿宋" w:eastAsia="仿宋_GB2312" w:cs="仿宋"/>
          <w:sz w:val="32"/>
          <w:szCs w:val="32"/>
          <w:lang w:eastAsia="zh-CN"/>
        </w:rPr>
        <w:t>。</w:t>
      </w:r>
    </w:p>
    <w:p w14:paraId="729E53A4">
      <w:pPr>
        <w:ind w:firstLine="643" w:firstLineChars="200"/>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2.残疾孤儿（残疾事实无人抚养儿童）照料护理补贴</w:t>
      </w:r>
    </w:p>
    <w:p w14:paraId="795C13BE">
      <w:pPr>
        <w:numPr>
          <w:ilvl w:val="0"/>
          <w:numId w:val="0"/>
        </w:numPr>
        <w:ind w:firstLine="640" w:firstLineChars="200"/>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残疾孤儿（残疾事实无人抚养儿童）照料护理补贴标准：1500元/月。</w:t>
      </w:r>
      <w:r>
        <w:rPr>
          <w:rFonts w:hint="eastAsia" w:ascii="仿宋_GB2312" w:hAnsi="仿宋" w:eastAsia="仿宋_GB2312" w:cs="仿宋"/>
          <w:sz w:val="32"/>
          <w:szCs w:val="32"/>
        </w:rPr>
        <w:t>已获</w:t>
      </w:r>
      <w:r>
        <w:rPr>
          <w:rFonts w:hint="eastAsia" w:ascii="仿宋_GB2312" w:hAnsi="仿宋" w:eastAsia="仿宋_GB2312" w:cs="仿宋"/>
          <w:sz w:val="32"/>
          <w:szCs w:val="32"/>
          <w:lang w:val="en-US" w:eastAsia="zh-CN"/>
        </w:rPr>
        <w:t>重度</w:t>
      </w:r>
      <w:r>
        <w:rPr>
          <w:rFonts w:hint="eastAsia" w:ascii="仿宋_GB2312" w:hAnsi="仿宋" w:eastAsia="仿宋_GB2312" w:cs="仿宋"/>
          <w:sz w:val="32"/>
          <w:szCs w:val="32"/>
        </w:rPr>
        <w:t>残疾人</w:t>
      </w:r>
      <w:r>
        <w:rPr>
          <w:rFonts w:hint="eastAsia" w:ascii="仿宋_GB2312" w:hAnsi="仿宋" w:eastAsia="仿宋_GB2312" w:cs="仿宋"/>
          <w:sz w:val="32"/>
          <w:szCs w:val="32"/>
          <w:lang w:val="en-US" w:eastAsia="zh-CN"/>
        </w:rPr>
        <w:t>护理</w:t>
      </w:r>
      <w:r>
        <w:rPr>
          <w:rFonts w:hint="eastAsia" w:ascii="仿宋_GB2312" w:hAnsi="仿宋" w:eastAsia="仿宋_GB2312" w:cs="仿宋"/>
          <w:sz w:val="32"/>
          <w:szCs w:val="32"/>
        </w:rPr>
        <w:t>补贴且未达到</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残疾孤儿（残疾事实无人抚养儿童）照料护理补贴标准</w:t>
      </w:r>
      <w:r>
        <w:rPr>
          <w:rFonts w:hint="eastAsia" w:ascii="仿宋_GB2312" w:hAnsi="仿宋" w:eastAsia="仿宋_GB2312" w:cs="仿宋"/>
          <w:sz w:val="32"/>
          <w:szCs w:val="32"/>
        </w:rPr>
        <w:t>的进行补差发放</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p>
    <w:p w14:paraId="06460D08">
      <w:pPr>
        <w:pStyle w:val="4"/>
        <w:widowControl/>
        <w:tabs>
          <w:tab w:val="left" w:pos="2534"/>
        </w:tabs>
        <w:spacing w:line="360" w:lineRule="atLeast"/>
        <w:ind w:firstLine="643" w:firstLineChars="200"/>
        <w:jc w:val="both"/>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3.孤儿、事实无人抚养儿童助学保障政策</w:t>
      </w:r>
    </w:p>
    <w:p w14:paraId="20FA239D">
      <w:pPr>
        <w:pStyle w:val="4"/>
        <w:widowControl/>
        <w:tabs>
          <w:tab w:val="left" w:pos="2534"/>
        </w:tabs>
        <w:spacing w:line="360" w:lineRule="atLeas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（1）资助对象：</w:t>
      </w:r>
      <w:r>
        <w:rPr>
          <w:rFonts w:hint="eastAsia" w:ascii="仿宋_GB2312" w:hAnsi="仿宋" w:eastAsia="仿宋_GB2312" w:cs="仿宋"/>
          <w:b w:val="0"/>
          <w:bCs w:val="0"/>
          <w:sz w:val="32"/>
          <w:szCs w:val="32"/>
          <w:lang w:val="en-US" w:eastAsia="zh-CN"/>
        </w:rPr>
        <w:t>入学前户籍在共青城市，18周岁前已纳入孤儿或事实无人抚养儿童基本生活保障范围且年满18周岁后就读普通全日制本科学校、普通全日制专科学校、高等职业学校等高等院校及中等职业学校的中专、大专、本科学生和硕士研究生。</w:t>
      </w:r>
    </w:p>
    <w:p w14:paraId="0354AC09">
      <w:pPr>
        <w:pStyle w:val="4"/>
        <w:widowControl/>
        <w:tabs>
          <w:tab w:val="left" w:pos="2534"/>
        </w:tabs>
        <w:spacing w:line="360" w:lineRule="atLeast"/>
        <w:ind w:firstLine="643" w:firstLineChars="200"/>
        <w:jc w:val="both"/>
        <w:rPr>
          <w:rFonts w:hint="eastAsia" w:ascii="仿宋_GB2312" w:hAnsi="仿宋_GB2312" w:eastAsia="仿宋_GB2312" w:cs="仿宋_GB2312"/>
          <w:b w:val="0"/>
          <w:bCs w:val="0"/>
          <w:i w:val="0"/>
          <w:iCs w:val="0"/>
          <w:caps w:val="0"/>
          <w:color w:val="auto"/>
          <w:spacing w:val="0"/>
          <w:sz w:val="32"/>
          <w:szCs w:val="32"/>
          <w:highlight w:val="yellow"/>
          <w:shd w:val="clear" w:fill="FFFFFF"/>
          <w:lang w:val="en-US" w:eastAsia="zh-CN"/>
        </w:rPr>
      </w:pPr>
      <w:r>
        <w:rPr>
          <w:rFonts w:hint="eastAsia" w:ascii="仿宋_GB2312" w:hAnsi="仿宋" w:eastAsia="仿宋_GB2312" w:cs="仿宋"/>
          <w:b/>
          <w:bCs/>
          <w:sz w:val="32"/>
          <w:szCs w:val="32"/>
          <w:lang w:val="en-US" w:eastAsia="zh-CN"/>
        </w:rPr>
        <w:t>（2）资助标准：</w:t>
      </w:r>
      <w:r>
        <w:rPr>
          <w:rFonts w:hint="eastAsia" w:ascii="仿宋_GB2312" w:hAnsi="仿宋" w:eastAsia="仿宋_GB2312" w:cs="仿宋"/>
          <w:b w:val="0"/>
          <w:bCs w:val="0"/>
          <w:sz w:val="32"/>
          <w:szCs w:val="32"/>
          <w:lang w:val="en-US" w:eastAsia="zh-CN"/>
        </w:rPr>
        <w:t>1万元/年</w:t>
      </w:r>
    </w:p>
    <w:p w14:paraId="104E47F1">
      <w:pPr>
        <w:numPr>
          <w:ilvl w:val="0"/>
          <w:numId w:val="0"/>
        </w:numPr>
        <w:ind w:firstLine="643" w:firstLineChars="200"/>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4.“孤儿医疗康复明天计划”项目</w:t>
      </w:r>
    </w:p>
    <w:p w14:paraId="1862A64B">
      <w:pPr>
        <w:numPr>
          <w:ilvl w:val="0"/>
          <w:numId w:val="0"/>
        </w:numPr>
        <w:ind w:firstLine="643"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（1）“明天计划”资助对象：</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0-18 周岁和年满 18 周岁后仍在全日制学校就读的孤儿。</w:t>
      </w:r>
    </w:p>
    <w:p w14:paraId="243094EB">
      <w:pPr>
        <w:keepNext w:val="0"/>
        <w:keepLines w:val="0"/>
        <w:widowControl/>
        <w:suppressLineNumbers w:val="0"/>
        <w:ind w:firstLine="643"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（2）</w:t>
      </w:r>
      <w:r>
        <w:rPr>
          <w:rFonts w:ascii="仿宋_GB2312" w:hAnsi="宋体" w:eastAsia="仿宋_GB2312" w:cs="仿宋_GB2312"/>
          <w:b/>
          <w:bCs/>
          <w:color w:val="000000"/>
          <w:kern w:val="0"/>
          <w:sz w:val="31"/>
          <w:szCs w:val="31"/>
          <w:lang w:val="en-US" w:eastAsia="zh-CN" w:bidi="ar"/>
        </w:rPr>
        <w:t>“明天计划”项目资金资助范围</w:t>
      </w:r>
      <w:r>
        <w:rPr>
          <w:rFonts w:hint="eastAsia" w:ascii="仿宋_GB2312" w:hAnsi="宋体" w:eastAsia="仿宋_GB2312" w:cs="仿宋_GB2312"/>
          <w:b/>
          <w:bCs/>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孤儿医疗康复费用的自付部分（即相关费用总额扣除医保报销、大病保险报销、医疗救助、康复救助、慈善捐助等费用后剩余部分）。</w:t>
      </w:r>
    </w:p>
    <w:p w14:paraId="45F9190A">
      <w:pPr>
        <w:ind w:firstLine="622" w:firstLineChars="200"/>
      </w:pPr>
      <w:r>
        <w:rPr>
          <w:rFonts w:hint="eastAsia" w:ascii="仿宋_GB2312" w:hAnsi="宋体" w:eastAsia="仿宋_GB2312" w:cs="仿宋_GB2312"/>
          <w:b/>
          <w:bCs/>
          <w:color w:val="000000"/>
          <w:kern w:val="0"/>
          <w:sz w:val="31"/>
          <w:szCs w:val="31"/>
          <w:lang w:val="en-US" w:eastAsia="zh-CN" w:bidi="ar"/>
        </w:rPr>
        <w:t>（3）体检费用。</w:t>
      </w:r>
      <w:r>
        <w:rPr>
          <w:rFonts w:hint="eastAsia" w:ascii="仿宋_GB2312" w:hAnsi="宋体" w:eastAsia="仿宋_GB2312" w:cs="仿宋_GB2312"/>
          <w:color w:val="000000"/>
          <w:kern w:val="0"/>
          <w:sz w:val="31"/>
          <w:szCs w:val="31"/>
          <w:lang w:val="en-US" w:eastAsia="zh-CN" w:bidi="ar"/>
        </w:rPr>
        <w:t>孤儿每2年1次的体检费用，资助标准每人每次不超过800元。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OTBjOTRiMGM4OTg2N2FmZmE1ZWM1NzU3MDRjNWIifQ=="/>
  </w:docVars>
  <w:rsids>
    <w:rsidRoot w:val="2B2E3B80"/>
    <w:rsid w:val="06B74DDB"/>
    <w:rsid w:val="0A6D0317"/>
    <w:rsid w:val="0C1464BD"/>
    <w:rsid w:val="14300EAC"/>
    <w:rsid w:val="144B0EEA"/>
    <w:rsid w:val="16E752AB"/>
    <w:rsid w:val="1C087134"/>
    <w:rsid w:val="26E325A6"/>
    <w:rsid w:val="2B2E3B80"/>
    <w:rsid w:val="2F2B32EF"/>
    <w:rsid w:val="343B16B8"/>
    <w:rsid w:val="380A6498"/>
    <w:rsid w:val="38EA73AC"/>
    <w:rsid w:val="3CF25FA6"/>
    <w:rsid w:val="444035EC"/>
    <w:rsid w:val="508126D0"/>
    <w:rsid w:val="51F72551"/>
    <w:rsid w:val="581A6B32"/>
    <w:rsid w:val="58385F74"/>
    <w:rsid w:val="5CF702E9"/>
    <w:rsid w:val="75C622C6"/>
    <w:rsid w:val="75DF1F4C"/>
    <w:rsid w:val="75FD11A7"/>
    <w:rsid w:val="7D5F709D"/>
    <w:rsid w:val="7D6D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qFormat/>
    <w:uiPriority w:val="0"/>
    <w:pPr>
      <w:spacing w:before="0" w:beforeLines="0" w:beforeAutospacing="0" w:after="0" w:afterLines="0" w:afterAutospacing="0"/>
      <w:ind w:left="0" w:right="0"/>
      <w:jc w:val="left"/>
    </w:pPr>
    <w:rPr>
      <w:rFonts w:ascii="Times New Roman" w:hAnsi="Times New Roman" w:eastAsia="宋体"/>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1936</Words>
  <Characters>1972</Characters>
  <Lines>0</Lines>
  <Paragraphs>0</Paragraphs>
  <TotalTime>5</TotalTime>
  <ScaleCrop>false</ScaleCrop>
  <LinksUpToDate>false</LinksUpToDate>
  <CharactersWithSpaces>1984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2023-10-16T03:19:00Z</dcterms:created>
  <dc:creator>  </dc:creator>
  <cp:lastModifiedBy>甜甜啊  </cp:lastModifiedBy>
  <dcterms:modified xsi:type="dcterms:W3CDTF">2026-04-22T07:41:54Z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FDBC84378B504C41A09A89766F7EF43D_11</vt:lpwstr>
  </property>
  <property fmtid="{D5CDD505-2E9C-101B-9397-08002B2CF9AE}" pid="4" name="KSOTemplateDocerSaveRecord">
    <vt:lpwstr>eyJoZGlkIjoiOTAwODI4YjBlZmZhYmZiMzA0ZThhMTI1M2RjN2FmNjYiLCJ1c2VySWQiOiI5NjE1MTUwNTkifQ==</vt:lpwstr>
  </property>
</Properties>
</file>