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0" w:beforeAutospacing="0" w:after="0" w:afterAutospacing="0" w:line="578" w:lineRule="exact"/>
        <w:ind w:left="0" w:right="0"/>
        <w:jc w:val="both"/>
        <w:rPr>
          <w:rFonts w:hint="eastAsia" w:ascii="黑体" w:hAnsi="宋体" w:eastAsia="黑体" w:cs="仿宋_GB2312"/>
          <w:kern w:val="2"/>
          <w:sz w:val="32"/>
          <w:szCs w:val="32"/>
        </w:rPr>
      </w:pPr>
      <w:r>
        <w:rPr>
          <w:rFonts w:hint="eastAsia" w:ascii="黑体" w:hAnsi="宋体" w:eastAsia="黑体" w:cs="仿宋_GB2312"/>
          <w:kern w:val="2"/>
          <w:sz w:val="32"/>
          <w:szCs w:val="32"/>
          <w:lang w:val="en-US" w:eastAsia="zh-CN"/>
        </w:rPr>
        <w:t>附件4</w:t>
      </w:r>
    </w:p>
    <w:p>
      <w:pPr>
        <w:widowControl w:val="0"/>
        <w:wordWrap/>
        <w:spacing w:before="0" w:beforeAutospacing="0" w:after="0" w:afterAutospacing="0" w:line="580" w:lineRule="exact"/>
        <w:ind w:left="0" w:right="0"/>
        <w:jc w:val="both"/>
        <w:textAlignment w:val="auto"/>
        <w:rPr>
          <w:rFonts w:hint="eastAsia" w:ascii="黑体" w:hAnsi="宋体" w:eastAsia="黑体" w:cs="仿宋_GB2312"/>
          <w:kern w:val="2"/>
          <w:sz w:val="32"/>
          <w:szCs w:val="32"/>
        </w:rPr>
      </w:pPr>
      <w:r>
        <w:rPr>
          <w:rFonts w:hint="eastAsia" w:ascii="黑体" w:hAnsi="宋体" w:eastAsia="黑体" w:cs="仿宋_GB2312"/>
          <w:kern w:val="2"/>
          <w:sz w:val="32"/>
          <w:szCs w:val="32"/>
          <w:lang w:val="en-US" w:eastAsia="zh-CN"/>
        </w:rPr>
        <w:t xml:space="preserve"> </w:t>
      </w:r>
    </w:p>
    <w:p>
      <w:pPr>
        <w:jc w:val="center"/>
        <w:rPr>
          <w:rFonts w:hint="eastAsia" w:asciiTheme="minorEastAsia" w:hAnsiTheme="minorEastAsia"/>
          <w:b/>
          <w:sz w:val="44"/>
          <w:szCs w:val="44"/>
        </w:rPr>
      </w:pPr>
      <w:r>
        <w:rPr>
          <w:rFonts w:hint="eastAsia" w:asciiTheme="minorEastAsia" w:hAnsiTheme="minorEastAsia"/>
          <w:b/>
          <w:sz w:val="44"/>
          <w:szCs w:val="44"/>
          <w:lang w:val="en-US" w:eastAsia="zh-CN"/>
        </w:rPr>
        <w:t>2022</w:t>
      </w:r>
      <w:r>
        <w:rPr>
          <w:rFonts w:hint="eastAsia" w:asciiTheme="minorEastAsia" w:hAnsiTheme="minorEastAsia"/>
          <w:b/>
          <w:sz w:val="44"/>
          <w:szCs w:val="44"/>
        </w:rPr>
        <w:t>年度</w:t>
      </w:r>
      <w:r>
        <w:rPr>
          <w:rFonts w:hint="eastAsia" w:asciiTheme="minorEastAsia" w:hAnsiTheme="minorEastAsia"/>
          <w:b/>
          <w:sz w:val="44"/>
          <w:szCs w:val="44"/>
          <w:lang w:eastAsia="zh-CN"/>
        </w:rPr>
        <w:t>耕地地力保护补贴</w:t>
      </w:r>
      <w:r>
        <w:rPr>
          <w:rFonts w:hint="eastAsia" w:asciiTheme="minorEastAsia" w:hAnsiTheme="minorEastAsia"/>
          <w:b/>
          <w:sz w:val="44"/>
          <w:szCs w:val="44"/>
        </w:rPr>
        <w:t>绩效自评报告</w:t>
      </w:r>
    </w:p>
    <w:p>
      <w:pPr>
        <w:pStyle w:val="11"/>
        <w:numPr>
          <w:ilvl w:val="0"/>
          <w:numId w:val="0"/>
        </w:numPr>
        <w:spacing w:line="600" w:lineRule="exact"/>
        <w:rPr>
          <w:rFonts w:hint="eastAsia" w:ascii="方正仿宋_GBK" w:hAnsi="方正仿宋_GBK" w:eastAsia="方正仿宋_GBK" w:cs="方正仿宋_GBK"/>
          <w:b/>
          <w:bCs/>
          <w:kern w:val="2"/>
          <w:sz w:val="32"/>
          <w:szCs w:val="22"/>
          <w:lang w:val="en-US" w:eastAsia="zh-CN" w:bidi="ar-SA"/>
        </w:rPr>
      </w:pPr>
    </w:p>
    <w:p>
      <w:pPr>
        <w:pStyle w:val="11"/>
        <w:numPr>
          <w:ilvl w:val="0"/>
          <w:numId w:val="0"/>
        </w:numPr>
        <w:spacing w:line="600" w:lineRule="exact"/>
        <w:ind w:firstLine="640" w:firstLineChars="200"/>
        <w:rPr>
          <w:rFonts w:hint="eastAsia" w:ascii="方正仿宋_GBK" w:hAnsi="方正仿宋_GBK" w:eastAsia="方正仿宋_GBK" w:cs="方正仿宋_GBK"/>
          <w:kern w:val="2"/>
          <w:sz w:val="32"/>
          <w:szCs w:val="22"/>
          <w:lang w:val="en-US" w:eastAsia="zh-CN" w:bidi="ar-SA"/>
        </w:rPr>
      </w:pPr>
      <w:r>
        <w:rPr>
          <w:rFonts w:hint="eastAsia" w:ascii="黑体" w:hAnsi="黑体" w:eastAsia="黑体" w:cs="黑体"/>
          <w:kern w:val="2"/>
          <w:sz w:val="32"/>
          <w:szCs w:val="24"/>
          <w:lang w:val="en-US" w:eastAsia="zh-CN"/>
        </w:rPr>
        <w:t>一、项目基本情况。</w:t>
      </w:r>
      <w:r>
        <w:rPr>
          <w:rFonts w:hint="eastAsia" w:ascii="方正仿宋_GBK" w:hAnsi="方正仿宋_GBK" w:eastAsia="方正仿宋_GBK" w:cs="方正仿宋_GBK"/>
          <w:kern w:val="2"/>
          <w:sz w:val="32"/>
          <w:szCs w:val="22"/>
          <w:lang w:val="en-US" w:eastAsia="zh-CN" w:bidi="ar-SA"/>
        </w:rPr>
        <w:t>根据《九江市财政局 九江市农业农村局关于下达2022年中央农业发展资金(耕地力保护补贴)的通知》（九财农〔2022〕2号）文件文件要求，2022年上级下达我市耕地地力保护补贴资金总额1067万元。</w:t>
      </w:r>
    </w:p>
    <w:p>
      <w:pPr>
        <w:spacing w:line="600" w:lineRule="exact"/>
        <w:ind w:firstLine="640" w:firstLineChars="200"/>
        <w:rPr>
          <w:rFonts w:hint="eastAsia" w:ascii="方正仿宋_GBK" w:hAnsi="方正仿宋_GBK" w:eastAsia="方正仿宋_GBK" w:cs="方正仿宋_GBK"/>
          <w:kern w:val="2"/>
          <w:sz w:val="32"/>
          <w:szCs w:val="22"/>
          <w:lang w:val="en-US" w:eastAsia="zh-CN" w:bidi="ar-SA"/>
        </w:rPr>
      </w:pPr>
      <w:r>
        <w:rPr>
          <w:rFonts w:hint="eastAsia" w:ascii="黑体" w:hAnsi="黑体" w:eastAsia="黑体" w:cs="黑体"/>
          <w:kern w:val="2"/>
          <w:sz w:val="32"/>
          <w:szCs w:val="24"/>
          <w:lang w:val="en-US" w:eastAsia="zh-CN" w:bidi="ar-SA"/>
        </w:rPr>
        <w:t>二、项目组织开展情况。</w:t>
      </w:r>
      <w:r>
        <w:rPr>
          <w:rFonts w:hint="eastAsia" w:ascii="方正仿宋_GBK" w:hAnsi="方正仿宋_GBK" w:eastAsia="方正仿宋_GBK" w:cs="方正仿宋_GBK"/>
          <w:kern w:val="2"/>
          <w:sz w:val="32"/>
          <w:szCs w:val="22"/>
          <w:lang w:val="en-US" w:eastAsia="zh-CN" w:bidi="ar-SA"/>
        </w:rPr>
        <w:t>严格规范落实各项程序，在补贴程序上严格执行补贴资金专户管理制度，落实补贴，通过“社会保障卡”一卡通系统，确保补贴资金直达农户个人账户，严格落实农户申报、村级公示、乡镇、街道汇总审核、市级农业农村水利局、财政部门最终审核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全市耕地地力保护补贴面积为</w:t>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7</w:t>
      </w:r>
      <w:r>
        <w:rPr>
          <w:rFonts w:hint="eastAsia" w:ascii="方正仿宋_GBK" w:hAnsi="方正仿宋_GBK" w:eastAsia="方正仿宋_GBK" w:cs="方正仿宋_GBK"/>
          <w:sz w:val="32"/>
          <w:szCs w:val="32"/>
          <w:lang w:val="en-US" w:eastAsia="zh-CN"/>
        </w:rPr>
        <w:t>万亩，发放耕地地力保护补贴资金</w:t>
      </w:r>
      <w:r>
        <w:rPr>
          <w:rFonts w:hint="eastAsia" w:ascii="仿宋_GB2312" w:hAnsi="仿宋_GB2312" w:eastAsia="仿宋_GB2312" w:cs="仿宋_GB2312"/>
          <w:sz w:val="32"/>
          <w:szCs w:val="32"/>
          <w:lang w:val="en-US" w:eastAsia="zh-CN"/>
        </w:rPr>
        <w:t>1015.72</w:t>
      </w:r>
      <w:r>
        <w:rPr>
          <w:rFonts w:hint="eastAsia" w:ascii="方正仿宋_GBK" w:hAnsi="方正仿宋_GBK" w:eastAsia="方正仿宋_GBK" w:cs="方正仿宋_GBK"/>
          <w:sz w:val="32"/>
          <w:szCs w:val="32"/>
          <w:lang w:val="en-US" w:eastAsia="zh-CN"/>
        </w:rPr>
        <w:t>万元，涉及5个乡镇1街道，惠及1.4万户农民，耕地地力补贴资金已经全部发放完成。</w:t>
      </w:r>
    </w:p>
    <w:p>
      <w:pPr>
        <w:keepNext w:val="0"/>
        <w:keepLines w:val="0"/>
        <w:pageBreakBefore w:val="0"/>
        <w:widowControl w:val="0"/>
        <w:kinsoku/>
        <w:wordWrap/>
        <w:overflowPunct/>
        <w:topLinePunct w:val="0"/>
        <w:autoSpaceDE/>
        <w:autoSpaceDN/>
        <w:bidi w:val="0"/>
        <w:adjustRightInd/>
        <w:snapToGrid w:val="0"/>
        <w:spacing w:line="520" w:lineRule="exact"/>
        <w:ind w:firstLine="640"/>
        <w:textAlignment w:val="auto"/>
        <w:rPr>
          <w:rFonts w:hint="default" w:ascii="方正仿宋_GBK" w:hAnsi="方正仿宋_GBK" w:eastAsia="方正仿宋_GBK" w:cs="方正仿宋_GBK"/>
          <w:kern w:val="2"/>
          <w:sz w:val="32"/>
          <w:szCs w:val="22"/>
          <w:lang w:val="en-US" w:eastAsia="zh-CN" w:bidi="ar-SA"/>
        </w:rPr>
      </w:pPr>
      <w:r>
        <w:rPr>
          <w:rFonts w:hint="eastAsia" w:ascii="黑体" w:hAnsi="黑体" w:eastAsia="黑体" w:cs="黑体"/>
          <w:kern w:val="2"/>
          <w:sz w:val="32"/>
          <w:szCs w:val="24"/>
          <w:lang w:val="en-US" w:eastAsia="zh-CN" w:bidi="ar-SA"/>
        </w:rPr>
        <w:t>三、项目资金执行情况。</w:t>
      </w:r>
      <w:r>
        <w:rPr>
          <w:rFonts w:hint="eastAsia" w:ascii="方正仿宋_GBK" w:hAnsi="方正仿宋_GBK" w:eastAsia="方正仿宋_GBK" w:cs="方正仿宋_GBK"/>
          <w:kern w:val="2"/>
          <w:sz w:val="32"/>
          <w:szCs w:val="22"/>
          <w:lang w:val="en-US" w:eastAsia="zh-CN" w:bidi="ar-SA"/>
        </w:rPr>
        <w:t>省财政实际下拨我市今年耕地地力保护补贴资金10670000元，上年度结余资金169418.79元，两个年度可用资金合计10839418.79元。经各乡（镇）、农垦集团公司统计、核实、汇总上报，2022年我市耕地地力保护补贴面积为90689亩，惠及1.3万余农户，发放耕地地力保护补贴资金10157168元，结余资金682250.79元。另4月10日统筹耕地地力保护补贴资金15655.16元用于发放今年第一次实际种粮农民一次性补贴；7月29日第二次再发放实际种粮农民一次性补贴时再统筹耕地地力保护补贴资金611471.2元；9月28日第三次发放实际种粮农民一次性补贴，统筹耕地地力保护补贴资金40338.04元，三次共统筹耕地地力保护补贴资金 667464.4元。因此，我市实际结余耕地地力保护补贴资金共计:14786.39元。资金使用率99.8%。</w:t>
      </w:r>
    </w:p>
    <w:p>
      <w:pPr>
        <w:numPr>
          <w:ilvl w:val="0"/>
          <w:numId w:val="0"/>
        </w:numPr>
        <w:spacing w:line="600" w:lineRule="exact"/>
        <w:ind w:firstLine="640" w:firstLineChars="200"/>
        <w:jc w:val="both"/>
        <w:rPr>
          <w:rFonts w:hint="eastAsia" w:ascii="黑体" w:hAnsi="黑体" w:eastAsia="黑体" w:cs="黑体"/>
          <w:kern w:val="2"/>
          <w:sz w:val="32"/>
          <w:szCs w:val="24"/>
          <w:lang w:val="en-US" w:eastAsia="zh-CN" w:bidi="ar-SA"/>
        </w:rPr>
      </w:pPr>
      <w:r>
        <w:rPr>
          <w:rFonts w:hint="eastAsia" w:ascii="黑体" w:hAnsi="黑体" w:eastAsia="黑体" w:cs="黑体"/>
          <w:kern w:val="2"/>
          <w:sz w:val="32"/>
          <w:szCs w:val="24"/>
          <w:lang w:val="en-US" w:eastAsia="zh-CN" w:bidi="ar-SA"/>
        </w:rPr>
        <w:t>四、绩效目标完成情况。</w:t>
      </w:r>
    </w:p>
    <w:p>
      <w:pPr>
        <w:numPr>
          <w:ilvl w:val="0"/>
          <w:numId w:val="0"/>
        </w:numPr>
        <w:spacing w:line="600" w:lineRule="exact"/>
        <w:ind w:firstLine="643" w:firstLineChars="200"/>
        <w:jc w:val="both"/>
        <w:rPr>
          <w:rFonts w:hint="eastAsia" w:ascii="方正仿宋_GBK" w:hAnsi="方正仿宋_GBK" w:eastAsia="方正仿宋_GBK" w:cs="方正仿宋_GBK"/>
          <w:b/>
          <w:bCs/>
          <w:kern w:val="2"/>
          <w:sz w:val="32"/>
          <w:szCs w:val="22"/>
          <w:lang w:val="en-US" w:eastAsia="zh-CN" w:bidi="ar-SA"/>
        </w:rPr>
      </w:pPr>
      <w:r>
        <w:rPr>
          <w:rFonts w:hint="eastAsia" w:ascii="方正仿宋_GBK" w:hAnsi="方正仿宋_GBK" w:eastAsia="方正仿宋_GBK" w:cs="方正仿宋_GBK"/>
          <w:b/>
          <w:bCs/>
          <w:kern w:val="2"/>
          <w:sz w:val="32"/>
          <w:szCs w:val="22"/>
          <w:lang w:val="en-US" w:eastAsia="zh-CN" w:bidi="ar-SA"/>
        </w:rPr>
        <w:t>1.产出指标完成情况分析。</w:t>
      </w:r>
    </w:p>
    <w:p>
      <w:pPr>
        <w:spacing w:line="600" w:lineRule="exact"/>
        <w:ind w:firstLine="640" w:firstLineChars="200"/>
        <w:jc w:val="both"/>
        <w:rPr>
          <w:rFonts w:hint="eastAsia" w:ascii="方正仿宋_GBK" w:hAnsi="方正仿宋_GBK" w:eastAsia="方正仿宋_GBK" w:cs="方正仿宋_GBK"/>
          <w:kern w:val="2"/>
          <w:sz w:val="32"/>
          <w:szCs w:val="22"/>
          <w:lang w:val="en-US" w:eastAsia="zh-CN" w:bidi="ar-SA"/>
        </w:rPr>
      </w:pPr>
      <w:r>
        <w:rPr>
          <w:rFonts w:hint="eastAsia" w:ascii="方正仿宋_GBK" w:hAnsi="方正仿宋_GBK" w:eastAsia="方正仿宋_GBK" w:cs="方正仿宋_GBK"/>
          <w:kern w:val="2"/>
          <w:sz w:val="32"/>
          <w:szCs w:val="22"/>
          <w:lang w:val="en-US" w:eastAsia="zh-CN" w:bidi="ar-SA"/>
        </w:rPr>
        <w:t>增加农民经济收入。通过项目的实施，增加农民，特别是种粮农户的经济收入，有效提高了农户的生活质量和生活水平。</w:t>
      </w:r>
    </w:p>
    <w:p>
      <w:pPr>
        <w:spacing w:line="600" w:lineRule="exact"/>
        <w:ind w:firstLine="640" w:firstLineChars="200"/>
        <w:jc w:val="both"/>
        <w:rPr>
          <w:rFonts w:hint="eastAsia" w:ascii="方正仿宋_GBK" w:hAnsi="方正仿宋_GBK" w:eastAsia="方正仿宋_GBK" w:cs="方正仿宋_GBK"/>
          <w:kern w:val="2"/>
          <w:sz w:val="32"/>
          <w:szCs w:val="22"/>
          <w:lang w:val="en-US" w:eastAsia="zh-CN" w:bidi="ar-SA"/>
        </w:rPr>
      </w:pPr>
      <w:r>
        <w:rPr>
          <w:rFonts w:hint="eastAsia" w:ascii="方正仿宋_GBK" w:hAnsi="方正仿宋_GBK" w:eastAsia="方正仿宋_GBK" w:cs="方正仿宋_GBK"/>
          <w:kern w:val="2"/>
          <w:sz w:val="32"/>
          <w:szCs w:val="22"/>
          <w:lang w:val="en-US" w:eastAsia="zh-CN" w:bidi="ar-SA"/>
        </w:rPr>
        <w:t>提高农民保护耕地积极性。通过项目的实施，树立示范样板，以点带面辐射带动周边农户，更新群众思想观念，增强科技意识，逐步改变习惯掠夺性生产方式，有利于农村经济可持续发展。</w:t>
      </w:r>
    </w:p>
    <w:p>
      <w:pPr>
        <w:spacing w:line="600" w:lineRule="exact"/>
        <w:ind w:firstLine="640" w:firstLineChars="200"/>
        <w:jc w:val="both"/>
        <w:rPr>
          <w:rFonts w:hint="eastAsia" w:ascii="方正仿宋_GBK" w:hAnsi="方正仿宋_GBK" w:eastAsia="方正仿宋_GBK" w:cs="方正仿宋_GBK"/>
          <w:kern w:val="2"/>
          <w:sz w:val="32"/>
          <w:szCs w:val="22"/>
          <w:lang w:val="en-US" w:eastAsia="zh-CN" w:bidi="ar-SA"/>
        </w:rPr>
      </w:pPr>
      <w:r>
        <w:rPr>
          <w:rFonts w:hint="eastAsia" w:ascii="方正仿宋_GBK" w:hAnsi="方正仿宋_GBK" w:eastAsia="方正仿宋_GBK" w:cs="方正仿宋_GBK"/>
          <w:kern w:val="2"/>
          <w:sz w:val="32"/>
          <w:szCs w:val="22"/>
          <w:lang w:val="en-US" w:eastAsia="zh-CN" w:bidi="ar-SA"/>
        </w:rPr>
        <w:t>提高耕地质量。通过项目的实施，增加有机肥投入，提升土壤有机质，减少单质化肥的用量，节约资源，有利于培肥地力，保护有益生物群体，营造植株生长的良好环境，有利于保护农业生态环境，从而提高耕地质量。</w:t>
      </w:r>
    </w:p>
    <w:p>
      <w:pPr>
        <w:numPr>
          <w:ilvl w:val="0"/>
          <w:numId w:val="0"/>
        </w:numPr>
        <w:spacing w:line="600" w:lineRule="exact"/>
        <w:rPr>
          <w:rFonts w:hint="eastAsia" w:ascii="方正仿宋_GBK" w:hAnsi="方正仿宋_GBK" w:eastAsia="方正仿宋_GBK" w:cs="方正仿宋_GBK"/>
          <w:b/>
          <w:bCs/>
          <w:color w:val="auto"/>
          <w:kern w:val="2"/>
          <w:sz w:val="32"/>
          <w:szCs w:val="22"/>
          <w:lang w:val="en-US" w:eastAsia="zh-CN" w:bidi="ar-SA"/>
        </w:rPr>
      </w:pPr>
      <w:r>
        <w:rPr>
          <w:rFonts w:hint="eastAsia" w:ascii="方正仿宋_GBK" w:hAnsi="方正仿宋_GBK" w:eastAsia="方正仿宋_GBK" w:cs="方正仿宋_GBK"/>
          <w:b/>
          <w:bCs/>
          <w:color w:val="auto"/>
          <w:kern w:val="2"/>
          <w:sz w:val="32"/>
          <w:szCs w:val="22"/>
          <w:lang w:val="en-US" w:eastAsia="zh-CN" w:bidi="ar-SA"/>
        </w:rPr>
        <w:t>2.满意度指标完成情况分析。</w:t>
      </w:r>
    </w:p>
    <w:p>
      <w:pPr>
        <w:spacing w:line="600" w:lineRule="exact"/>
        <w:ind w:firstLine="640" w:firstLineChars="200"/>
        <w:jc w:val="both"/>
        <w:rPr>
          <w:rFonts w:hint="eastAsia" w:ascii="方正仿宋_GBK" w:hAnsi="方正仿宋_GBK" w:eastAsia="方正仿宋_GBK" w:cs="方正仿宋_GBK"/>
          <w:kern w:val="2"/>
          <w:sz w:val="32"/>
          <w:szCs w:val="22"/>
          <w:lang w:val="en-US" w:eastAsia="zh-CN" w:bidi="ar-SA"/>
        </w:rPr>
      </w:pPr>
      <w:r>
        <w:rPr>
          <w:rFonts w:hint="eastAsia" w:ascii="方正仿宋_GBK" w:hAnsi="方正仿宋_GBK" w:eastAsia="方正仿宋_GBK" w:cs="方正仿宋_GBK"/>
          <w:kern w:val="2"/>
          <w:sz w:val="32"/>
          <w:szCs w:val="22"/>
          <w:lang w:val="en-US" w:eastAsia="zh-CN" w:bidi="ar-SA"/>
        </w:rPr>
        <w:t>通过发放满意度调查表的方式对农户进行满意度进行调查，由于发放耕地地力保护补贴，提高了农户生活质量，增加了农户收入，提高了耕地积极性，农户对此感到满意。</w:t>
      </w:r>
    </w:p>
    <w:p>
      <w:pPr>
        <w:numPr>
          <w:ilvl w:val="0"/>
          <w:numId w:val="0"/>
        </w:numPr>
        <w:ind w:firstLine="640" w:firstLineChars="200"/>
        <w:rPr>
          <w:rFonts w:hint="eastAsia" w:ascii="方正仿宋_GBK" w:hAnsi="方正仿宋_GBK" w:eastAsia="方正仿宋_GBK" w:cs="方正仿宋_GBK"/>
          <w:sz w:val="32"/>
          <w:szCs w:val="32"/>
          <w:lang w:val="en-US" w:eastAsia="zh-CN"/>
        </w:rPr>
      </w:pPr>
      <w:r>
        <w:rPr>
          <w:rFonts w:hint="eastAsia" w:ascii="黑体" w:hAnsi="黑体" w:eastAsia="黑体" w:cs="黑体"/>
          <w:kern w:val="2"/>
          <w:sz w:val="32"/>
          <w:szCs w:val="24"/>
          <w:lang w:val="en-US" w:eastAsia="zh-CN" w:bidi="ar-SA"/>
        </w:rPr>
        <w:t>五、问题和建议。</w:t>
      </w:r>
      <w:r>
        <w:rPr>
          <w:rFonts w:hint="eastAsia" w:ascii="方正仿宋_GBK" w:hAnsi="方正仿宋_GBK" w:eastAsia="方正仿宋_GBK" w:cs="方正仿宋_GBK"/>
          <w:sz w:val="32"/>
          <w:szCs w:val="32"/>
          <w:lang w:val="en-US" w:eastAsia="zh-CN"/>
        </w:rPr>
        <w:t>补贴标准偏低。随着种粮成本不断上升，当前种粮补贴相对偏低，自补贴发放以来，一直执行每亩补贴112元的标准，不足以调动和保护农民种粮的积极性，虽然近年来粮食回收价格有所上升，但种植成本逐年上升，农业生产效益仍然较低，耕地地力保护补贴政策对调整农民种粮的积极性的作用还非常有限。</w:t>
      </w:r>
    </w:p>
    <w:p>
      <w:pPr>
        <w:numPr>
          <w:ilvl w:val="0"/>
          <w:numId w:val="0"/>
        </w:numPr>
        <w:ind w:firstLine="640" w:firstLineChars="200"/>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建议：加大农业补贴政策，提高补贴标准，建立农业保障机制，补贴资金实现专项管理。</w:t>
      </w:r>
    </w:p>
    <w:p>
      <w:pPr>
        <w:numPr>
          <w:ilvl w:val="0"/>
          <w:numId w:val="0"/>
        </w:numPr>
        <w:ind w:firstLine="640" w:firstLineChars="200"/>
        <w:rPr>
          <w:rFonts w:hint="default" w:ascii="黑体" w:hAnsi="黑体" w:eastAsia="黑体" w:cs="黑体"/>
          <w:kern w:val="2"/>
          <w:sz w:val="32"/>
          <w:szCs w:val="24"/>
          <w:lang w:val="en-US" w:eastAsia="zh-CN" w:bidi="ar-SA"/>
        </w:rPr>
      </w:pPr>
      <w:r>
        <w:rPr>
          <w:rFonts w:hint="eastAsia" w:ascii="黑体" w:hAnsi="黑体" w:eastAsia="黑体" w:cs="黑体"/>
          <w:kern w:val="2"/>
          <w:sz w:val="32"/>
          <w:szCs w:val="24"/>
          <w:lang w:val="en-US" w:eastAsia="zh-CN" w:bidi="ar-SA"/>
        </w:rPr>
        <w:t>六、下一步改进措施。</w:t>
      </w:r>
      <w:r>
        <w:rPr>
          <w:rFonts w:hint="eastAsia" w:ascii="方正仿宋_GBK" w:hAnsi="方正仿宋_GBK" w:eastAsia="方正仿宋_GBK" w:cs="方正仿宋_GBK"/>
          <w:sz w:val="32"/>
          <w:szCs w:val="32"/>
          <w:lang w:val="en-US" w:eastAsia="zh-CN"/>
        </w:rPr>
        <w:t>无</w:t>
      </w:r>
    </w:p>
    <w:p>
      <w:pPr>
        <w:pStyle w:val="7"/>
        <w:keepNext w:val="0"/>
        <w:keepLines w:val="0"/>
        <w:pageBreakBefore w:val="0"/>
        <w:kinsoku/>
        <w:wordWrap/>
        <w:overflowPunct/>
        <w:topLinePunct w:val="0"/>
        <w:autoSpaceDE/>
        <w:autoSpaceDN/>
        <w:bidi w:val="0"/>
        <w:adjustRightInd/>
        <w:snapToGrid/>
        <w:ind w:left="0" w:leftChars="0" w:firstLine="640" w:firstLineChars="200"/>
        <w:jc w:val="both"/>
        <w:rPr>
          <w:rFonts w:hint="default" w:ascii="黑体" w:hAnsi="黑体" w:eastAsia="黑体" w:cs="黑体"/>
          <w:b w:val="0"/>
          <w:bCs w:val="0"/>
          <w:kern w:val="2"/>
          <w:sz w:val="32"/>
          <w:szCs w:val="24"/>
          <w:lang w:val="en-US" w:eastAsia="zh-CN" w:bidi="ar-SA"/>
        </w:rPr>
      </w:pPr>
      <w:r>
        <w:rPr>
          <w:rFonts w:hint="eastAsia" w:ascii="黑体" w:hAnsi="黑体" w:eastAsia="黑体" w:cs="黑体"/>
          <w:b w:val="0"/>
          <w:bCs w:val="0"/>
          <w:kern w:val="2"/>
          <w:sz w:val="32"/>
          <w:szCs w:val="24"/>
          <w:lang w:val="en-US" w:eastAsia="zh-CN" w:bidi="ar-SA"/>
        </w:rPr>
        <w:t>七、需要说明的事项。</w:t>
      </w:r>
      <w:r>
        <w:rPr>
          <w:rFonts w:hint="eastAsia" w:ascii="方正仿宋_GBK" w:hAnsi="方正仿宋_GBK" w:eastAsia="方正仿宋_GBK" w:cs="方正仿宋_GBK"/>
          <w:b w:val="0"/>
          <w:bCs w:val="0"/>
          <w:kern w:val="2"/>
          <w:sz w:val="32"/>
          <w:szCs w:val="32"/>
          <w:lang w:val="en-US" w:eastAsia="zh-CN" w:bidi="ar-SA"/>
        </w:rPr>
        <w:t>无</w:t>
      </w:r>
    </w:p>
    <w:p>
      <w:pPr>
        <w:widowControl w:val="0"/>
        <w:wordWrap/>
        <w:adjustRightInd w:val="0"/>
        <w:snapToGrid w:val="0"/>
        <w:spacing w:line="580" w:lineRule="exact"/>
        <w:ind w:firstLine="640" w:firstLineChars="200"/>
        <w:jc w:val="both"/>
        <w:textAlignment w:val="auto"/>
        <w:rPr>
          <w:rFonts w:hint="eastAsia" w:ascii="仿宋_GB2312" w:hAnsi="仿宋_GB2312" w:eastAsia="仿宋_GB2312"/>
          <w:color w:val="auto"/>
          <w:sz w:val="32"/>
          <w:szCs w:val="32"/>
          <w:lang w:eastAsia="zh-CN"/>
        </w:rPr>
      </w:pPr>
      <w:bookmarkStart w:id="0" w:name="_GoBack"/>
      <w:bookmarkEnd w:id="0"/>
    </w:p>
    <w:sectPr>
      <w:footerReference r:id="rId3" w:type="default"/>
      <w:pgSz w:w="11906" w:h="16838"/>
      <w:pgMar w:top="1440" w:right="1576" w:bottom="1440" w:left="157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Calibri" w:hAnsi="Calibri" w:eastAsia="宋体" w:cs="黑体"/>
        <w:kern w:val="2"/>
        <w:sz w:val="18"/>
        <w:szCs w:val="24"/>
        <w:lang w:val="en-US" w:eastAsia="zh-CN" w:bidi="ar-SA"/>
      </w:rPr>
      <w:pict>
        <v:rect id="文本框 1" o:spid="_x0000_s4097" o:spt="1" style="position:absolute;left:0pt;margin-top:0pt;height:144pt;width:144pt;mso-position-horizontal:right;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OGRmYzQ3OTI0MmQ4MDIwY2I1ZDM1ZDQ1YzQ0YWU3MjYifQ=="/>
    <w:docVar w:name="DocumentID" w:val="{44C0A184-7A5C-4E47-B29D-EFFDEE3213EE}"/>
    <w:docVar w:name="DocumentName" w:val="temp105551820111229101704767016000000000000___tdocDispatchdoc___8af5d2e571355998017180da149d4dc8___zw"/>
  </w:docVars>
  <w:rsids>
    <w:rsidRoot w:val="17972809"/>
    <w:rsid w:val="000412BB"/>
    <w:rsid w:val="03334B9D"/>
    <w:rsid w:val="043D16AA"/>
    <w:rsid w:val="04D52271"/>
    <w:rsid w:val="051B37A2"/>
    <w:rsid w:val="0563559E"/>
    <w:rsid w:val="06014CA0"/>
    <w:rsid w:val="065F710D"/>
    <w:rsid w:val="07480FA9"/>
    <w:rsid w:val="0A2F6378"/>
    <w:rsid w:val="0B105A94"/>
    <w:rsid w:val="0BBB543D"/>
    <w:rsid w:val="0CFB14DE"/>
    <w:rsid w:val="0EFC2DF2"/>
    <w:rsid w:val="0F0D5FEA"/>
    <w:rsid w:val="10053211"/>
    <w:rsid w:val="101F105F"/>
    <w:rsid w:val="13CB0F19"/>
    <w:rsid w:val="14725C21"/>
    <w:rsid w:val="14B635AC"/>
    <w:rsid w:val="15D46340"/>
    <w:rsid w:val="15E24989"/>
    <w:rsid w:val="16BB3080"/>
    <w:rsid w:val="17972809"/>
    <w:rsid w:val="17B63B42"/>
    <w:rsid w:val="18A7676F"/>
    <w:rsid w:val="18B30A4D"/>
    <w:rsid w:val="1915758A"/>
    <w:rsid w:val="1CBE7DED"/>
    <w:rsid w:val="233D5B13"/>
    <w:rsid w:val="2343321E"/>
    <w:rsid w:val="24EC5996"/>
    <w:rsid w:val="252E6780"/>
    <w:rsid w:val="27043110"/>
    <w:rsid w:val="27E017EF"/>
    <w:rsid w:val="284A590B"/>
    <w:rsid w:val="2A6974CD"/>
    <w:rsid w:val="2B103CF0"/>
    <w:rsid w:val="2D137936"/>
    <w:rsid w:val="2D670061"/>
    <w:rsid w:val="2EF7625E"/>
    <w:rsid w:val="2FDB74B1"/>
    <w:rsid w:val="343347F7"/>
    <w:rsid w:val="365B5A46"/>
    <w:rsid w:val="397C1806"/>
    <w:rsid w:val="3B8F1290"/>
    <w:rsid w:val="3BC9631E"/>
    <w:rsid w:val="3C6F5246"/>
    <w:rsid w:val="3CAA2F38"/>
    <w:rsid w:val="3EAC2315"/>
    <w:rsid w:val="3EC9481E"/>
    <w:rsid w:val="3EF9720C"/>
    <w:rsid w:val="3F71CDE8"/>
    <w:rsid w:val="3FEE445E"/>
    <w:rsid w:val="3FF70AF2"/>
    <w:rsid w:val="40DE085C"/>
    <w:rsid w:val="417714B8"/>
    <w:rsid w:val="424D2F03"/>
    <w:rsid w:val="425F7DC8"/>
    <w:rsid w:val="427B7527"/>
    <w:rsid w:val="46BC3D31"/>
    <w:rsid w:val="470D5407"/>
    <w:rsid w:val="477F22F4"/>
    <w:rsid w:val="47976C4E"/>
    <w:rsid w:val="4A143C51"/>
    <w:rsid w:val="4B1A681E"/>
    <w:rsid w:val="4B6A36C1"/>
    <w:rsid w:val="4D7753B7"/>
    <w:rsid w:val="50A0471B"/>
    <w:rsid w:val="519F34D6"/>
    <w:rsid w:val="51FE060C"/>
    <w:rsid w:val="53D669A4"/>
    <w:rsid w:val="54874E16"/>
    <w:rsid w:val="561A4727"/>
    <w:rsid w:val="56B82B5D"/>
    <w:rsid w:val="56BB3A41"/>
    <w:rsid w:val="57B14700"/>
    <w:rsid w:val="59E66272"/>
    <w:rsid w:val="5B142BDB"/>
    <w:rsid w:val="5BB215E3"/>
    <w:rsid w:val="5BFB23E2"/>
    <w:rsid w:val="5C731D67"/>
    <w:rsid w:val="5E2E0816"/>
    <w:rsid w:val="5EEFF624"/>
    <w:rsid w:val="5FE77DC3"/>
    <w:rsid w:val="608F3987"/>
    <w:rsid w:val="636C3EF7"/>
    <w:rsid w:val="64260B2F"/>
    <w:rsid w:val="648B2769"/>
    <w:rsid w:val="64B41968"/>
    <w:rsid w:val="66BE3F76"/>
    <w:rsid w:val="67B760DC"/>
    <w:rsid w:val="69272833"/>
    <w:rsid w:val="698F2DDE"/>
    <w:rsid w:val="6A524113"/>
    <w:rsid w:val="6B5336BF"/>
    <w:rsid w:val="6BBA28E9"/>
    <w:rsid w:val="6C4903AC"/>
    <w:rsid w:val="6D3C4069"/>
    <w:rsid w:val="6DFF70F2"/>
    <w:rsid w:val="6E5214FD"/>
    <w:rsid w:val="6E911671"/>
    <w:rsid w:val="70196E1D"/>
    <w:rsid w:val="70F56BC5"/>
    <w:rsid w:val="71C93368"/>
    <w:rsid w:val="71EB85A3"/>
    <w:rsid w:val="73A362EE"/>
    <w:rsid w:val="74C13CA5"/>
    <w:rsid w:val="74E1290B"/>
    <w:rsid w:val="77ED8699"/>
    <w:rsid w:val="77F31B8C"/>
    <w:rsid w:val="797F3BF2"/>
    <w:rsid w:val="7A33457A"/>
    <w:rsid w:val="7AD5A3D2"/>
    <w:rsid w:val="7CF172FF"/>
    <w:rsid w:val="7D761692"/>
    <w:rsid w:val="7E2D5A58"/>
    <w:rsid w:val="7F443255"/>
    <w:rsid w:val="7F5DB8DB"/>
    <w:rsid w:val="B6DE1D53"/>
    <w:rsid w:val="B7F6EAE0"/>
    <w:rsid w:val="E7FF34EB"/>
    <w:rsid w:val="EFF7D2CE"/>
    <w:rsid w:val="F69FB23C"/>
    <w:rsid w:val="FBFB7751"/>
    <w:rsid w:val="FD16E7C2"/>
    <w:rsid w:val="FF598E60"/>
    <w:rsid w:val="FFDF879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ind w:firstLine="420" w:firstLineChars="200"/>
    </w:pPr>
    <w:rPr>
      <w:rFonts w:ascii="Times New Roman" w:hAnsi="Times New Roman" w:eastAsia="仿宋_GB2312"/>
      <w:sz w:val="30"/>
    </w:rPr>
  </w:style>
  <w:style w:type="paragraph" w:styleId="3">
    <w:name w:val="Body Text"/>
    <w:basedOn w:val="1"/>
    <w:qFormat/>
    <w:uiPriority w:val="0"/>
    <w:pPr>
      <w:jc w:val="center"/>
    </w:pPr>
    <w:rPr>
      <w:rFonts w:eastAsia="仿宋_GB2312"/>
      <w:b/>
      <w:bCs/>
      <w:sz w:val="7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rPr>
  </w:style>
  <w:style w:type="paragraph" w:styleId="7">
    <w:name w:val="Body Text First Indent"/>
    <w:basedOn w:val="3"/>
    <w:qFormat/>
    <w:uiPriority w:val="99"/>
    <w:pPr>
      <w:ind w:firstLine="420" w:firstLineChars="100"/>
    </w:pPr>
  </w:style>
  <w:style w:type="character" w:styleId="10">
    <w:name w:val="Strong"/>
    <w:basedOn w:val="9"/>
    <w:qFormat/>
    <w:uiPriority w:val="0"/>
    <w:rPr>
      <w:b/>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410</Words>
  <Characters>416</Characters>
  <Lines>0</Lines>
  <Paragraphs>0</Paragraphs>
  <TotalTime>0</TotalTime>
  <ScaleCrop>false</ScaleCrop>
  <LinksUpToDate>false</LinksUpToDate>
  <CharactersWithSpaces>417</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2020-04-26T02:05:00Z</dcterms:created>
  <dc:creator>孔德煌</dc:creator>
  <cp:lastModifiedBy>水利办公账号</cp:lastModifiedBy>
  <cp:lastPrinted>2020-12-18T02:50:00Z</cp:lastPrinted>
  <dcterms:modified xsi:type="dcterms:W3CDTF">2023-10-16T05:16:40Z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D764ACF00F7F486E9AAD54A17CCA2EDB</vt:lpwstr>
  </property>
</Properties>
</file>