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9DE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32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3ECF6FF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共青城市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农业生产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社会化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服务主体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遴选核查表</w:t>
      </w:r>
    </w:p>
    <w:p w14:paraId="0AA11E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5040" w:firstLineChars="2100"/>
        <w:jc w:val="right"/>
        <w:textAlignment w:val="auto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年</w:t>
      </w:r>
      <w:r>
        <w:rPr>
          <w:rFonts w:eastAsia="仿宋_GB2312" w:cs="仿宋_GB2312"/>
          <w:sz w:val="24"/>
          <w:szCs w:val="24"/>
        </w:rPr>
        <w:t xml:space="preserve">   </w:t>
      </w:r>
      <w:r>
        <w:rPr>
          <w:rFonts w:hint="eastAsia" w:eastAsia="仿宋_GB2312" w:cs="仿宋_GB2312"/>
          <w:sz w:val="24"/>
          <w:szCs w:val="24"/>
        </w:rPr>
        <w:t>月</w:t>
      </w:r>
      <w:r>
        <w:rPr>
          <w:rFonts w:eastAsia="仿宋_GB2312" w:cs="仿宋_GB2312"/>
          <w:sz w:val="24"/>
          <w:szCs w:val="24"/>
        </w:rPr>
        <w:t xml:space="preserve">   </w:t>
      </w:r>
      <w:r>
        <w:rPr>
          <w:rFonts w:hint="eastAsia" w:eastAsia="仿宋_GB2312" w:cs="仿宋_GB2312"/>
          <w:sz w:val="24"/>
          <w:szCs w:val="24"/>
        </w:rPr>
        <w:t>日</w:t>
      </w:r>
    </w:p>
    <w:tbl>
      <w:tblPr>
        <w:tblStyle w:val="9"/>
        <w:tblW w:w="93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254"/>
        <w:gridCol w:w="1481"/>
        <w:gridCol w:w="39"/>
        <w:gridCol w:w="1387"/>
        <w:gridCol w:w="742"/>
        <w:gridCol w:w="460"/>
        <w:gridCol w:w="1294"/>
        <w:gridCol w:w="1880"/>
      </w:tblGrid>
      <w:tr w14:paraId="57D67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8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CE3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</w:t>
            </w:r>
          </w:p>
          <w:p w14:paraId="4C6B12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 w14:paraId="37B6D4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接</w:t>
            </w:r>
          </w:p>
          <w:p w14:paraId="0F8A0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 w14:paraId="2A1108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 w14:paraId="6CEC09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 w14:paraId="02535C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体</w:t>
            </w:r>
          </w:p>
        </w:tc>
        <w:tc>
          <w:tcPr>
            <w:tcW w:w="1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FDD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728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8F9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4FA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467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9F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3845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1161A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7C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2F7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10D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</w:t>
            </w:r>
          </w:p>
          <w:p w14:paraId="4EBEB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041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D07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6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CCFD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D93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E517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D0E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A6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5B0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话</w:t>
            </w:r>
          </w:p>
        </w:tc>
        <w:tc>
          <w:tcPr>
            <w:tcW w:w="36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CD00E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78F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9EE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</w:t>
            </w:r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E7D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机械名称及数量</w:t>
            </w:r>
          </w:p>
          <w:p w14:paraId="152C78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（台、套）</w:t>
            </w:r>
          </w:p>
        </w:tc>
        <w:tc>
          <w:tcPr>
            <w:tcW w:w="1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E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农机名称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B6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型号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8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功率</w:t>
            </w:r>
          </w:p>
        </w:tc>
        <w:tc>
          <w:tcPr>
            <w:tcW w:w="129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66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8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B0CF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备注说明</w:t>
            </w:r>
          </w:p>
        </w:tc>
      </w:tr>
      <w:tr w14:paraId="56106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09E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A80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1A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9A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5F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3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446F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AD5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856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4A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C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6F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B2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66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04FE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385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8D8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FED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9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0A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D7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98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57F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A25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6B6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D02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8A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B5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5C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2C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46B9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422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DDE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9B0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26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38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0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7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D893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36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4A7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1CC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67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71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B7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D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8C5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5E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513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10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拟主要服务区域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E4B9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47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041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E4A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</w:t>
            </w:r>
          </w:p>
          <w:p w14:paraId="533B0A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内容</w:t>
            </w: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C957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3A6468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80" w:firstLineChars="235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52FE14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42" w:firstLineChars="1551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  <w:p w14:paraId="1B3CBF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51" w:firstLineChars="2054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57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20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D7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乡镇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经济发展办公室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61C2C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2C76C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1C9325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123D1A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420" w:firstLineChars="265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</w:tr>
      <w:tr w14:paraId="5862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20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260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农业农村部门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583AC0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80" w:firstLineChars="235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1455CD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80" w:firstLineChars="235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7E06AC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8E510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</w:p>
          <w:p w14:paraId="63838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80" w:firstLineChars="235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703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0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3FC05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财政局意见</w:t>
            </w: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154847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7DEC68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80" w:firstLineChars="235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24E233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42" w:firstLineChars="1551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  <w:p w14:paraId="37E985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51" w:firstLineChars="2054"/>
              <w:jc w:val="right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D67E9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647A9CF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共青城市20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年农业生产社会化服务项目</w:t>
      </w:r>
    </w:p>
    <w:p w14:paraId="5702390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实施主体申报材料清单</w:t>
      </w:r>
    </w:p>
    <w:p w14:paraId="194F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CF1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.共青城市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社会化服务项目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遴选核查表（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3E1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三证合一营业执照、银行开户许可证、法人身份证、财务报表复印件；</w:t>
      </w:r>
    </w:p>
    <w:p w14:paraId="4154D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.实施单位基本情况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单位简介、人员和设备情况、近几年开展社会化服务情况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等）；</w:t>
      </w:r>
    </w:p>
    <w:p w14:paraId="199C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台账（含图片）、操作人员登记表，行驶证和驾驶证复印件；</w:t>
      </w:r>
    </w:p>
    <w:p w14:paraId="2822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将年度内各环节预计服务小农户面积、户数、区域等情况作为主体申报的重要指标。</w:t>
      </w:r>
    </w:p>
    <w:p w14:paraId="23F7E56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FEA5FC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F4B19D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AA5058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F8EA94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931F10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ACA185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3F00A1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B7F59F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AB7A8B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6463580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7"/>
          <w:sz w:val="44"/>
          <w:szCs w:val="44"/>
          <w:lang w:eastAsia="zh-CN"/>
        </w:rPr>
        <w:t>共青城市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7"/>
          <w:sz w:val="44"/>
          <w:szCs w:val="44"/>
          <w:lang w:val="en-US" w:eastAsia="zh-CN"/>
        </w:rPr>
        <w:t>2026年农业社会化服务项目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7"/>
          <w:sz w:val="44"/>
          <w:szCs w:val="44"/>
          <w:lang w:eastAsia="zh-CN"/>
        </w:rPr>
        <w:t>承诺书</w:t>
      </w:r>
    </w:p>
    <w:p w14:paraId="1C78453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</w:pPr>
    </w:p>
    <w:p w14:paraId="6651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局、财政局：</w:t>
      </w:r>
    </w:p>
    <w:p w14:paraId="2865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为严格涉农项目建设操作规范，确保项目资金安全，根据省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年中央财政支持农业生产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社会化服务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项目实施方案要求。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（服务组织）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社会化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服务项目，现对本申报主体提交的项目申报材料的真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实性</w:t>
      </w:r>
      <w:r>
        <w:rPr>
          <w:rFonts w:hint="eastAsia" w:ascii="仿宋_GB2312" w:hAnsi="仿宋_GB2312" w:eastAsia="仿宋_GB2312" w:cs="仿宋_GB2312"/>
          <w:sz w:val="32"/>
          <w:szCs w:val="32"/>
        </w:rPr>
        <w:t>、有效性，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以下承诺：本服务组织自愿接受行业管理部门全面监督，坚决按照各项要求完成作业。</w:t>
      </w:r>
    </w:p>
    <w:p w14:paraId="5EFA4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如弄虚作假：</w:t>
      </w:r>
    </w:p>
    <w:p w14:paraId="324E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一、追缴退回项目补助资金。</w:t>
      </w:r>
    </w:p>
    <w:p w14:paraId="1B81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二、取消各项涉农补贴资格，列入补贴黑名单。</w:t>
      </w:r>
    </w:p>
    <w:p w14:paraId="32E2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三、承担套取国家补贴资金相应的法律责任。</w:t>
      </w:r>
    </w:p>
    <w:p w14:paraId="362B8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FE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2D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7A6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法人代表签字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/盖章）：</w:t>
      </w:r>
    </w:p>
    <w:p w14:paraId="2BE8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BA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AF4027A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E4CA18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556C34"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AFD9C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46731CD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共青城市2026年农业生产社会化服务项目承接服务合同</w:t>
      </w:r>
    </w:p>
    <w:p w14:paraId="35DFA29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4A1776E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甲方：共青城市农业农村水利局</w:t>
      </w:r>
    </w:p>
    <w:p w14:paraId="6425F04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乙方（承接服务主体）：</w:t>
      </w:r>
    </w:p>
    <w:p w14:paraId="3F00C5E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服务地址（指定地点）：</w:t>
      </w:r>
    </w:p>
    <w:p w14:paraId="58FCA00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为进一步组织实施好我市农业生产托管项目，做好以农业生产托管为主的农业生产社会化服务工作，推动健全农业生产社会化服务体系，经甲、乙双方商定，就共青城市农业生产社会化服务项目承接服务签订协议如下：</w:t>
      </w:r>
    </w:p>
    <w:p w14:paraId="103DE3D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一、服务环节及计划作业量</w:t>
      </w:r>
    </w:p>
    <w:p w14:paraId="79A7F3C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2026年度农业生产社会化服务项目服务环节及乙方计划完成作业量为：</w:t>
      </w:r>
    </w:p>
    <w:p w14:paraId="5B8D8B0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1.2026年度农业生产社会化服务环节：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水稻育秧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水稻机插、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水稻统防统治、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油菜统防统治、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稻谷烘干</w:t>
      </w:r>
    </w:p>
    <w:p w14:paraId="577449A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水稻育秧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亩；水稻机插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亩； 水稻统防统治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亩；油菜统防统治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亩；稻谷烘干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吨，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eastAsia="zh-CN"/>
        </w:rPr>
        <w:t>预计服务小农户面积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亩；小农户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eastAsia="zh-CN"/>
        </w:rPr>
        <w:t>户数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户；服务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eastAsia="zh-CN"/>
        </w:rPr>
        <w:t>区域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eastAsia="zh-CN"/>
        </w:rPr>
        <w:t>等情况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 w14:paraId="0FEACD8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二、补助标准及方式</w:t>
      </w:r>
    </w:p>
    <w:p w14:paraId="75E1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4" w:right="70" w:firstLine="603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1.补助标准：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1）水稻育秧服务小农户每亩补助30元，服务大户每亩补助25元；（2）水稻机插服务小农户每亩补助30元；服务大户每亩补助25元；（3）水稻、油菜生产专业化统防统治服务小农户每亩次补助2.4元（单季不超过3次，每亩不超过7.2元补助），服务大户每亩次补助2.2元（单季不超过3次，每亩不超过6.6元补助）（油菜作业时间2026年1月1日—3月31日，2026年10月16日—12月31日，水稻作业时间2026年4月1日—10月15日），（4）稻谷烘干服务小农户补助按湿谷每吨补助18元，服务大户按湿谷每吨补助17元，共青城市属于丘陵区，原则上财政补助占服务价格比例不超过40%，且单季作物亩均各关键环节补助总量不超过130元。</w:t>
      </w:r>
    </w:p>
    <w:p w14:paraId="3AE2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" w:right="74" w:firstLine="614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2.资金兑付流程：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项目资金采取先服务后补助的方式，支持农业生产托</w:t>
      </w:r>
      <w:r>
        <w:rPr>
          <w:rFonts w:hint="eastAsia" w:ascii="仿宋_GB2312" w:hAnsi="仿宋_GB2312" w:eastAsia="仿宋_GB2312" w:cs="仿宋_GB2312"/>
          <w:sz w:val="32"/>
          <w:szCs w:val="32"/>
        </w:rPr>
        <w:t>管项目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服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主体，具体流程如下：</w:t>
      </w:r>
    </w:p>
    <w:p w14:paraId="471D8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" w:right="74" w:firstLine="614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服务主体需如实填写共青城市农业生产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社会化服务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作业量汇总表、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作业量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台账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、小农户清单明细表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、共青城市农业生产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服务合同、共青城市农业生产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社会服务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项目农户满意度测评表，需要提供服务现场作业照片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拍照需要用到水印相机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备注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间和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定位地点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）装订成册，服务主体的申报材料报送所在乡镇进行审核并签字盖章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再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农业部门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专班（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所有表格和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一式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），项目专班进行审核，对确认的服务主体进行公开公示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</w:t>
      </w:r>
    </w:p>
    <w:p w14:paraId="7EDC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7" w:firstLine="614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专班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办公室收到服务主体的补助申报材料后，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专班联合乡镇进行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审查、验收，并填写共青城市农业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社会化服务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项目验收表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，公示无异议后，报市项目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专班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，拨付相关补助资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金。</w:t>
      </w:r>
    </w:p>
    <w:p w14:paraId="6AF1060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三、资金补助要求</w:t>
      </w:r>
    </w:p>
    <w:p w14:paraId="19E48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服务主体要与服务对象签订服务合同，明确双方的责任和</w:t>
      </w:r>
      <w:r>
        <w:rPr>
          <w:rFonts w:hint="eastAsia" w:ascii="仿宋_GB2312" w:hAnsi="仿宋_GB2312" w:eastAsia="仿宋_GB2312" w:cs="仿宋_GB2312"/>
          <w:sz w:val="32"/>
          <w:szCs w:val="32"/>
        </w:rPr>
        <w:t>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务，对服务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主体在水稻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和油菜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生产过程中各项服务环节补助按照远程电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子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监测平台监测到的作业量来确定作业面积，同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服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务主体服务小农户面积或烘干吨数必须大于所有作业量的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60%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户均面积的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10倍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确认小农户面积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，如服务小农户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面积或烘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干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吨数达不到 60%，按照倒推法测算认定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即小农户面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积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或吨数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60%认定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，多余面积或烘干吨数不予补助。经项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专班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验收后，根据实际认定的作业面积，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公示无异议后，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承接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服务主体进</w:t>
      </w:r>
      <w:r>
        <w:rPr>
          <w:rFonts w:hint="eastAsia" w:ascii="仿宋_GB2312" w:hAnsi="仿宋_GB2312" w:eastAsia="仿宋_GB2312" w:cs="仿宋_GB2312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补助。服务合同实际完成的作业量是指服务主体对外服务的作</w:t>
      </w:r>
      <w:r>
        <w:rPr>
          <w:rFonts w:hint="eastAsia" w:ascii="仿宋_GB2312" w:hAnsi="仿宋_GB2312" w:eastAsia="仿宋_GB2312" w:cs="仿宋_GB2312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量，不包括为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自己服务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的作业量，也不包括服务主体自己拥有</w:t>
      </w:r>
      <w:r>
        <w:rPr>
          <w:rFonts w:hint="eastAsia" w:ascii="仿宋_GB2312" w:hAnsi="仿宋_GB2312" w:eastAsia="仿宋_GB2312" w:cs="仿宋_GB2312"/>
          <w:sz w:val="32"/>
          <w:szCs w:val="32"/>
        </w:rPr>
        <w:t>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项服务能力却相互聘请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交叉聘请服务主体提供服务的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作业量，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还不包括对本市范围外提供服务的作业量。对服务主体采取造</w:t>
      </w:r>
      <w:r>
        <w:rPr>
          <w:rFonts w:hint="eastAsia" w:ascii="仿宋_GB2312" w:hAnsi="仿宋_GB2312" w:eastAsia="仿宋_GB2312" w:cs="仿宋_GB2312"/>
          <w:sz w:val="32"/>
          <w:szCs w:val="32"/>
        </w:rPr>
        <w:t>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行为骗取补助资金的，依照有关规定处理，并在三年内不得申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享受财政支农补助项目。</w:t>
      </w:r>
    </w:p>
    <w:p w14:paraId="75375C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</w:p>
    <w:p w14:paraId="5F329B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</w:p>
    <w:p w14:paraId="61EE3E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甲方签字：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 xml:space="preserve">                       乙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方签字：</w:t>
      </w:r>
    </w:p>
    <w:p w14:paraId="6F625D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（盖章）</w:t>
      </w:r>
    </w:p>
    <w:p w14:paraId="535F7B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2026年   月    日                2026年   月    日</w:t>
      </w:r>
    </w:p>
    <w:tbl>
      <w:tblPr>
        <w:tblStyle w:val="9"/>
        <w:tblpPr w:leftFromText="180" w:rightFromText="180" w:vertAnchor="text" w:horzAnchor="page" w:tblpXSpec="center" w:tblpY="716"/>
        <w:tblOverlap w:val="never"/>
        <w:tblW w:w="104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822"/>
        <w:gridCol w:w="2132"/>
        <w:gridCol w:w="1078"/>
        <w:gridCol w:w="949"/>
        <w:gridCol w:w="1088"/>
        <w:gridCol w:w="953"/>
        <w:gridCol w:w="1202"/>
        <w:gridCol w:w="728"/>
      </w:tblGrid>
      <w:tr w14:paraId="2A63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2025年共青城市农业社会化服务项目实施区域汇总表</w:t>
            </w:r>
          </w:p>
        </w:tc>
      </w:tr>
      <w:tr w14:paraId="799F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拟服务地点（乡）镇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拟服务环节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1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行政村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拟服务小农户面积（亩）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拟服务小农户数（户）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服务区域    （地块名称）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56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86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18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5B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A5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82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13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F1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CE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8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F6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EA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3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92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EA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F8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21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A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2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FF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96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98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63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41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3F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3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67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4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B8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ED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91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63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9A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BC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CB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20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7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1A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3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92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C1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BC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A3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BE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43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F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9C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D2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06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E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6A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32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2D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8A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0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76F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7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所在乡镇农办（盖章）：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7D56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4935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44F2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129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6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547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C5E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F0FBC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附件5</w:t>
      </w:r>
    </w:p>
    <w:p w14:paraId="2CA32AB0">
      <w:pPr>
        <w:tabs>
          <w:tab w:val="left" w:pos="2451"/>
        </w:tabs>
        <w:bidi w:val="0"/>
        <w:jc w:val="left"/>
        <w:rPr>
          <w:rFonts w:hint="eastAsia"/>
          <w:lang w:val="en-US" w:eastAsia="zh-CN"/>
        </w:rPr>
      </w:pPr>
    </w:p>
    <w:p w14:paraId="3C60A912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21D0B138">
      <w:pPr>
        <w:bidi w:val="0"/>
        <w:rPr>
          <w:rFonts w:hint="eastAsia"/>
          <w:lang w:val="en-US" w:eastAsia="zh-CN"/>
        </w:rPr>
      </w:pPr>
    </w:p>
    <w:p w14:paraId="6CC694F8">
      <w:pPr>
        <w:bidi w:val="0"/>
        <w:rPr>
          <w:rFonts w:hint="eastAsia"/>
          <w:lang w:val="en-US" w:eastAsia="zh-CN"/>
        </w:rPr>
      </w:pPr>
    </w:p>
    <w:p w14:paraId="401FA7E1">
      <w:pPr>
        <w:bidi w:val="0"/>
        <w:rPr>
          <w:rFonts w:hint="eastAsia"/>
          <w:lang w:val="en-US" w:eastAsia="zh-CN"/>
        </w:rPr>
      </w:pPr>
    </w:p>
    <w:p w14:paraId="621588AA">
      <w:pPr>
        <w:bidi w:val="0"/>
        <w:rPr>
          <w:rFonts w:hint="eastAsia"/>
          <w:lang w:val="en-US" w:eastAsia="zh-CN"/>
        </w:rPr>
      </w:pPr>
    </w:p>
    <w:p w14:paraId="3ADF8C1E">
      <w:pPr>
        <w:bidi w:val="0"/>
        <w:rPr>
          <w:rFonts w:hint="eastAsia"/>
          <w:lang w:val="en-US" w:eastAsia="zh-CN"/>
        </w:rPr>
      </w:pPr>
    </w:p>
    <w:p w14:paraId="46250919">
      <w:pPr>
        <w:pStyle w:val="2"/>
        <w:rPr>
          <w:rFonts w:hint="eastAsia"/>
          <w:lang w:val="en-US" w:eastAsia="zh-CN"/>
        </w:rPr>
      </w:pPr>
    </w:p>
    <w:p w14:paraId="04955C8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4F82A7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6F3C89">
      <w:pPr>
        <w:snapToGrid w:val="0"/>
        <w:spacing w:line="600" w:lineRule="exact"/>
        <w:ind w:right="26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52705</wp:posOffset>
                </wp:positionV>
                <wp:extent cx="5400040" cy="1397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139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pt;margin-top:4.15pt;height:1.1pt;width:425.2pt;z-index:251660288;mso-width-relative:page;mso-height-relative:page;" filled="f" stroked="t" coordsize="21600,21600" o:gfxdata="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pGnm1QAAAAcBAAAPAAAAAAAAAAEAIAAAACIAAABkcnMv&#10;ZG93bnJldi54bWxQSwECFAAUAAAACACHTuJAR9vktwYCAAABBAAADgAAAAAAAAABACAAAAAkAQAA&#10;ZHJzL2Uyb0RvYy54bWxQSwUGAAAAAAYABgBZAQAAn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共青城市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农业农村水利局办公室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</w:rPr>
        <w:t>日印发</w:t>
      </w:r>
    </w:p>
    <w:p w14:paraId="794E81F8">
      <w:pPr>
        <w:snapToGrid w:val="0"/>
        <w:spacing w:line="20" w:lineRule="exact"/>
        <w:ind w:firstLine="138" w:firstLineChars="50"/>
        <w:jc w:val="center"/>
        <w:rPr>
          <w:rFonts w:hint="eastAsia"/>
          <w:lang w:val="en-US" w:eastAsia="zh-CN"/>
        </w:rPr>
      </w:pPr>
      <w:r>
        <w:rPr>
          <w:rFonts w:hint="eastAsia" w:ascii="仿宋_GB2312" w:eastAsia="仿宋_GB2312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20955</wp:posOffset>
                </wp:positionV>
                <wp:extent cx="5400040" cy="1397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139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pt;margin-top:1.65pt;height:1.1pt;width:425.2pt;z-index:251661312;mso-width-relative:page;mso-height-relative:page;" filled="f" stroked="t" coordsize="21600,21600" o:gfxdata="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JSQYtYAAAAGAQAADwAAAAAAAAABACAAAAAiAAAAZHJz&#10;L2Rvd25yZXYueG1sUEsBAhQAFAAAAAgAh07iQCbNMggGAgAAAQQAAA4AAAAAAAAAAQAgAAAAJQEA&#10;AGRycy9lMm9Eb2MueG1sUEsFBgAAAAAGAAYAWQEAAJ0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D168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7720C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7720C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B321"/>
    <w:rsid w:val="3E8D014F"/>
    <w:rsid w:val="7FEFB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Body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customStyle="1" w:styleId="12">
    <w:name w:val="BlockQuote"/>
    <w:basedOn w:val="1"/>
    <w:qFormat/>
    <w:uiPriority w:val="0"/>
    <w:pPr>
      <w:ind w:left="1440" w:leftChars="700" w:right="700" w:rightChars="700"/>
      <w:jc w:val="both"/>
      <w:textAlignment w:val="baseline"/>
    </w:pPr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1185</Words>
  <Characters>1234</Characters>
  <Lines>0</Lines>
  <Paragraphs>0</Paragraphs>
  <TotalTime>19</TotalTime>
  <ScaleCrop>false</ScaleCrop>
  <LinksUpToDate>false</LinksUpToDate>
  <CharactersWithSpaces>1240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2026-01-29T16:26:00Z</dcterms:created>
  <dc:creator>gqcszxxx</dc:creator>
  <cp:lastModifiedBy>what</cp:lastModifiedBy>
  <cp:lastPrinted>2026-01-29T16:30:00Z</cp:lastPrinted>
  <dcterms:modified xsi:type="dcterms:W3CDTF">2026-02-04T03:00:31Z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88786113CC324359BDD57B2ABF2EF4CF_13</vt:lpwstr>
  </property>
  <property fmtid="{D5CDD505-2E9C-101B-9397-08002B2CF9AE}" pid="4" name="KSOTemplateDocerSaveRecord">
    <vt:lpwstr>eyJoZGlkIjoiMjM5ODNjZjhkMDgyZTQ2Yjk1MzM4NmM5MjdlYzcyMzgiLCJ1c2VySWQiOiI2NzgwNjg1NjgifQ==</vt:lpwstr>
  </property>
</Properties>
</file>