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AFDB3A">
      <w:pPr>
        <w:keepNext w:val="0"/>
        <w:keepLines w:val="0"/>
        <w:pageBreakBefore w:val="0"/>
        <w:widowControl w:val="0"/>
        <w:kinsoku/>
        <w:wordWrap/>
        <w:overflowPunct/>
        <w:topLinePunct w:val="0"/>
        <w:bidi w:val="0"/>
        <w:adjustRightInd w:val="0"/>
        <w:snapToGrid/>
        <w:spacing w:line="560" w:lineRule="exact"/>
        <w:textAlignment w:val="auto"/>
        <w:rPr>
          <w:rFonts w:hint="default"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lang w:val="en-US" w:eastAsia="zh-CN"/>
          <w14:textFill>
            <w14:solidFill>
              <w14:schemeClr w14:val="tx1"/>
            </w14:solidFill>
          </w14:textFill>
        </w:rPr>
        <w:t>附件3</w:t>
      </w:r>
    </w:p>
    <w:p w14:paraId="6B225EBB">
      <w:pPr>
        <w:spacing w:line="640" w:lineRule="exact"/>
        <w:jc w:val="center"/>
        <w:rPr>
          <w:rFonts w:hint="eastAsia" w:ascii="华文中宋" w:hAnsi="华文中宋" w:eastAsia="华文中宋"/>
          <w:b/>
          <w:sz w:val="36"/>
          <w:szCs w:val="36"/>
        </w:rPr>
      </w:pPr>
      <w:bookmarkStart w:id="4" w:name="_GoBack"/>
      <w:bookmarkEnd w:id="4"/>
      <w:r>
        <w:rPr>
          <w:rFonts w:hint="eastAsia" w:ascii="华文中宋" w:hAnsi="华文中宋" w:eastAsia="华文中宋"/>
          <w:b/>
          <w:sz w:val="36"/>
          <w:szCs w:val="36"/>
          <w:lang w:eastAsia="zh-CN"/>
        </w:rPr>
        <w:t>猪场粪污全量还田利用</w:t>
      </w:r>
      <w:r>
        <w:rPr>
          <w:rFonts w:hint="eastAsia" w:ascii="华文中宋" w:hAnsi="华文中宋" w:eastAsia="华文中宋"/>
          <w:b/>
          <w:sz w:val="36"/>
          <w:szCs w:val="36"/>
        </w:rPr>
        <w:t>技术</w:t>
      </w:r>
    </w:p>
    <w:p w14:paraId="2B41E383">
      <w:pPr>
        <w:spacing w:line="640" w:lineRule="exact"/>
        <w:jc w:val="center"/>
        <w:rPr>
          <w:rFonts w:hint="eastAsia" w:ascii="华文中宋" w:hAnsi="华文中宋" w:eastAsia="华文中宋"/>
          <w:b/>
          <w:sz w:val="36"/>
          <w:szCs w:val="36"/>
        </w:rPr>
      </w:pPr>
    </w:p>
    <w:p w14:paraId="22EC26E8">
      <w:pPr>
        <w:keepNext w:val="0"/>
        <w:keepLines w:val="0"/>
        <w:pageBreakBefore w:val="0"/>
        <w:widowControl w:val="0"/>
        <w:kinsoku/>
        <w:wordWrap/>
        <w:overflowPunct/>
        <w:topLinePunct w:val="0"/>
        <w:bidi w:val="0"/>
        <w:adjustRightInd w:val="0"/>
        <w:snapToGrid/>
        <w:spacing w:line="560" w:lineRule="exact"/>
        <w:ind w:firstLine="640" w:firstLineChars="200"/>
        <w:textAlignment w:val="auto"/>
        <w:rPr>
          <w:rFonts w:hint="eastAsia" w:ascii="Times New Roman" w:hAnsi="Times New Roman" w:eastAsia="仿宋_GB2312"/>
          <w:bCs/>
          <w:color w:val="000000" w:themeColor="text1"/>
          <w:sz w:val="32"/>
          <w:szCs w:val="32"/>
          <w:lang w:eastAsia="zh-CN"/>
          <w14:textFill>
            <w14:solidFill>
              <w14:schemeClr w14:val="tx1"/>
            </w14:solidFill>
          </w14:textFill>
        </w:rPr>
      </w:pPr>
      <w:r>
        <w:rPr>
          <w:rFonts w:hint="eastAsia" w:ascii="Times New Roman" w:hAnsi="Times New Roman" w:eastAsia="黑体"/>
          <w:bCs/>
          <w:color w:val="000000" w:themeColor="text1"/>
          <w:sz w:val="32"/>
          <w:szCs w:val="32"/>
          <w14:textFill>
            <w14:solidFill>
              <w14:schemeClr w14:val="tx1"/>
            </w14:solidFill>
          </w14:textFill>
        </w:rPr>
        <w:t>摘要：</w:t>
      </w:r>
      <w:r>
        <w:rPr>
          <w:rFonts w:hint="eastAsia" w:ascii="仿宋_GB2312" w:hAnsi="Times New Roman" w:eastAsia="仿宋_GB2312"/>
          <w:color w:val="000000" w:themeColor="text1"/>
          <w:sz w:val="32"/>
          <w:szCs w:val="32"/>
          <w:lang w:eastAsia="zh-CN"/>
          <w14:textFill>
            <w14:solidFill>
              <w14:schemeClr w14:val="tx1"/>
            </w14:solidFill>
          </w14:textFill>
        </w:rPr>
        <w:t>针对生猪养殖场（户）在粪污还田利用过程中存在的过度处理、利用粗放、养分流失、施用不规范等问题，江西省农业技术推广中心</w:t>
      </w:r>
      <w:r>
        <w:rPr>
          <w:rFonts w:hint="eastAsia" w:ascii="仿宋_GB2312" w:hAnsi="Times New Roman" w:eastAsia="仿宋_GB2312"/>
          <w:kern w:val="0"/>
          <w:sz w:val="32"/>
          <w:szCs w:val="32"/>
          <w:lang w:eastAsia="zh-CN"/>
        </w:rPr>
        <w:t>在长期的技术研究与示范推广的基础上，</w:t>
      </w:r>
      <w:r>
        <w:rPr>
          <w:rFonts w:hint="eastAsia" w:ascii="Times New Roman" w:hAnsi="Times New Roman" w:eastAsia="仿宋_GB2312" w:cs="Times New Roman"/>
          <w:color w:val="000000" w:themeColor="text1"/>
          <w:sz w:val="32"/>
          <w:szCs w:val="32"/>
          <w:lang w:eastAsia="zh-CN"/>
          <w14:textFill>
            <w14:solidFill>
              <w14:schemeClr w14:val="tx1"/>
            </w14:solidFill>
          </w14:textFill>
        </w:rPr>
        <w:t>研发</w:t>
      </w:r>
      <w:r>
        <w:rPr>
          <w:rFonts w:hint="eastAsia" w:ascii="仿宋_GB2312" w:hAnsi="Times New Roman" w:eastAsia="仿宋_GB2312"/>
          <w:kern w:val="0"/>
          <w:sz w:val="32"/>
          <w:szCs w:val="32"/>
          <w:lang w:eastAsia="zh-CN"/>
        </w:rPr>
        <w:t>了</w:t>
      </w:r>
      <w:r>
        <w:rPr>
          <w:rFonts w:hint="eastAsia" w:eastAsia="仿宋_GB2312"/>
          <w:sz w:val="32"/>
          <w:szCs w:val="32"/>
          <w:lang w:eastAsia="zh-CN"/>
        </w:rPr>
        <w:t>猪场粪污全量还田利用技术，</w:t>
      </w:r>
      <w:r>
        <w:rPr>
          <w:rFonts w:hint="eastAsia" w:ascii="仿宋_GB2312" w:hAnsi="Times New Roman" w:eastAsia="仿宋_GB2312"/>
          <w:kern w:val="0"/>
          <w:sz w:val="32"/>
          <w:szCs w:val="32"/>
        </w:rPr>
        <w:t>制定</w:t>
      </w:r>
      <w:r>
        <w:rPr>
          <w:rFonts w:hint="eastAsia" w:ascii="仿宋_GB2312" w:hAnsi="Times New Roman" w:eastAsia="仿宋_GB2312"/>
          <w:kern w:val="0"/>
          <w:sz w:val="32"/>
          <w:szCs w:val="32"/>
          <w:lang w:eastAsia="zh-CN"/>
        </w:rPr>
        <w:t>了</w:t>
      </w:r>
      <w:r>
        <w:rPr>
          <w:rFonts w:hint="eastAsia" w:eastAsia="仿宋_GB2312"/>
          <w:sz w:val="32"/>
          <w:szCs w:val="32"/>
          <w:lang w:eastAsia="zh-CN"/>
        </w:rPr>
        <w:t>《猪场粪污全量还田利用技术规范》地方</w:t>
      </w:r>
      <w:r>
        <w:rPr>
          <w:rFonts w:hint="eastAsia" w:ascii="仿宋_GB2312" w:hAnsi="Times New Roman" w:eastAsia="仿宋_GB2312"/>
          <w:kern w:val="0"/>
          <w:sz w:val="32"/>
          <w:szCs w:val="32"/>
        </w:rPr>
        <w:t>标准</w:t>
      </w:r>
      <w:r>
        <w:rPr>
          <w:rFonts w:hint="eastAsia" w:ascii="仿宋_GB2312" w:hAnsi="Times New Roman" w:eastAsia="仿宋_GB2312"/>
          <w:color w:val="000000" w:themeColor="text1"/>
          <w:sz w:val="32"/>
          <w:szCs w:val="32"/>
          <w14:textFill>
            <w14:solidFill>
              <w14:schemeClr w14:val="tx1"/>
            </w14:solidFill>
          </w14:textFill>
        </w:rPr>
        <w:t>。借鉴了农业农村部《畜禽粪污土地承载力测算技术指南》的测算方法，引用了全国第二次污染源普查农业源产排污系数等权威数据，</w:t>
      </w:r>
      <w:r>
        <w:rPr>
          <w:rFonts w:hint="eastAsia" w:ascii="仿宋_GB2312" w:hAnsi="Times New Roman" w:eastAsia="仿宋_GB2312"/>
          <w:color w:val="000000" w:themeColor="text1"/>
          <w:sz w:val="32"/>
          <w:szCs w:val="32"/>
          <w:lang w:eastAsia="zh-CN"/>
          <w14:textFill>
            <w14:solidFill>
              <w14:schemeClr w14:val="tx1"/>
            </w14:solidFill>
          </w14:textFill>
        </w:rPr>
        <w:t>把政策要求融合到技术规范中，对设施设备、收集与储运、无害化处理和还田利用等方面细化，给出了配套农田面积和粪肥施用量参考值，兼具可操作性和政策指导性。技术路径上采用了“全量收集</w:t>
      </w:r>
      <w:r>
        <w:rPr>
          <w:rFonts w:hint="eastAsia" w:ascii="仿宋_GB2312" w:hAnsi="Times New Roman" w:eastAsia="仿宋_GB2312"/>
          <w:color w:val="000000" w:themeColor="text1"/>
          <w:sz w:val="32"/>
          <w:szCs w:val="32"/>
          <w:lang w:val="en-US" w:eastAsia="zh-CN"/>
          <w14:textFill>
            <w14:solidFill>
              <w14:schemeClr w14:val="tx1"/>
            </w14:solidFill>
          </w14:textFill>
        </w:rPr>
        <w:t>+氧化塘贮存发酵+还田利用</w:t>
      </w:r>
      <w:r>
        <w:rPr>
          <w:rFonts w:hint="eastAsia" w:ascii="仿宋_GB2312" w:hAnsi="Times New Roman" w:eastAsia="仿宋_GB2312"/>
          <w:color w:val="000000" w:themeColor="text1"/>
          <w:sz w:val="32"/>
          <w:szCs w:val="32"/>
          <w:lang w:eastAsia="zh-CN"/>
          <w14:textFill>
            <w14:solidFill>
              <w14:schemeClr w14:val="tx1"/>
            </w14:solidFill>
          </w14:textFill>
        </w:rPr>
        <w:t>”技术模式，降低了猪场的设施设备要求和收集处理成本，又对粪污中的氮、磷等养分资源充分利用，减少COD、N、P等涉水污染物的排放，经济效益和社会效益均非常明显，对规范我省生猪养殖粪污还田利用、提高粪污资源化利用水平和质量、实现种养绿色循环具有十分重要的推动作用。</w:t>
      </w:r>
    </w:p>
    <w:p w14:paraId="589D6693">
      <w:pPr>
        <w:keepNext w:val="0"/>
        <w:keepLines w:val="0"/>
        <w:pageBreakBefore w:val="0"/>
        <w:widowControl w:val="0"/>
        <w:kinsoku/>
        <w:wordWrap/>
        <w:overflowPunct/>
        <w:topLinePunct w:val="0"/>
        <w:bidi w:val="0"/>
        <w:adjustRightInd w:val="0"/>
        <w:snapToGrid/>
        <w:spacing w:line="560" w:lineRule="exact"/>
        <w:ind w:firstLine="640" w:firstLineChars="200"/>
        <w:textAlignment w:val="auto"/>
        <w:rPr>
          <w:rFonts w:ascii="Times New Roman" w:hAnsi="Times New Roman" w:eastAsia="黑体"/>
          <w:bCs/>
          <w:color w:val="000000" w:themeColor="text1"/>
          <w:sz w:val="32"/>
          <w:szCs w:val="32"/>
          <w14:textFill>
            <w14:solidFill>
              <w14:schemeClr w14:val="tx1"/>
            </w14:solidFill>
          </w14:textFill>
        </w:rPr>
      </w:pPr>
      <w:r>
        <w:rPr>
          <w:rFonts w:ascii="Times New Roman" w:hAnsi="Times New Roman" w:eastAsia="黑体"/>
          <w:bCs/>
          <w:color w:val="000000" w:themeColor="text1"/>
          <w:sz w:val="32"/>
          <w:szCs w:val="32"/>
          <w14:textFill>
            <w14:solidFill>
              <w14:schemeClr w14:val="tx1"/>
            </w14:solidFill>
          </w14:textFill>
        </w:rPr>
        <w:t>一、技术概述</w:t>
      </w:r>
    </w:p>
    <w:p w14:paraId="1C403916">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楷体" w:hAnsi="楷体" w:eastAsia="楷体"/>
          <w:b/>
          <w:bCs/>
          <w:color w:val="000000" w:themeColor="text1"/>
          <w:sz w:val="32"/>
          <w:szCs w:val="32"/>
          <w14:textFill>
            <w14:solidFill>
              <w14:schemeClr w14:val="tx1"/>
            </w14:solidFill>
          </w14:textFill>
        </w:rPr>
      </w:pPr>
      <w:r>
        <w:rPr>
          <w:rFonts w:hint="eastAsia" w:ascii="楷体" w:hAnsi="楷体" w:eastAsia="楷体"/>
          <w:b/>
          <w:bCs/>
          <w:color w:val="000000" w:themeColor="text1"/>
          <w:sz w:val="32"/>
          <w:szCs w:val="32"/>
          <w14:textFill>
            <w14:solidFill>
              <w14:schemeClr w14:val="tx1"/>
            </w14:solidFill>
          </w14:textFill>
        </w:rPr>
        <w:t>（一）</w:t>
      </w:r>
      <w:r>
        <w:rPr>
          <w:rFonts w:hint="eastAsia" w:ascii="Times New Roman" w:hAnsi="Times New Roman" w:eastAsia="楷体_GB2312" w:cs="Times New Roman"/>
          <w:b/>
          <w:bCs/>
          <w:color w:val="000000" w:themeColor="text1"/>
          <w:sz w:val="32"/>
          <w:szCs w:val="32"/>
          <w:lang w:eastAsia="zh-CN"/>
          <w14:textFill>
            <w14:solidFill>
              <w14:schemeClr w14:val="tx1"/>
            </w14:solidFill>
          </w14:textFill>
        </w:rPr>
        <w:t>背景</w:t>
      </w:r>
      <w:r>
        <w:rPr>
          <w:rFonts w:hint="default" w:ascii="Times New Roman" w:hAnsi="Times New Roman" w:eastAsia="楷体_GB2312" w:cs="Times New Roman"/>
          <w:b/>
          <w:bCs/>
          <w:color w:val="000000" w:themeColor="text1"/>
          <w:sz w:val="32"/>
          <w:szCs w:val="32"/>
          <w14:textFill>
            <w14:solidFill>
              <w14:schemeClr w14:val="tx1"/>
            </w14:solidFill>
          </w14:textFill>
        </w:rPr>
        <w:t>情况</w:t>
      </w:r>
    </w:p>
    <w:p w14:paraId="51E38D7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color w:val="000000" w:themeColor="text1"/>
          <w:sz w:val="32"/>
          <w:szCs w:val="32"/>
          <w:lang w:eastAsia="zh-CN"/>
          <w14:textFill>
            <w14:solidFill>
              <w14:schemeClr w14:val="tx1"/>
            </w14:solidFill>
          </w14:textFill>
        </w:rPr>
        <w:t>江西是生猪养殖大省和调出大省，每年外调生猪1200万头左右，调出量居全国前列。20</w:t>
      </w:r>
      <w:r>
        <w:rPr>
          <w:rFonts w:hint="eastAsia" w:ascii="仿宋_GB2312" w:hAnsi="Times New Roman" w:eastAsia="仿宋_GB2312"/>
          <w:color w:val="000000" w:themeColor="text1"/>
          <w:sz w:val="32"/>
          <w:szCs w:val="32"/>
          <w:lang w:val="en-US" w:eastAsia="zh-CN"/>
          <w14:textFill>
            <w14:solidFill>
              <w14:schemeClr w14:val="tx1"/>
            </w14:solidFill>
          </w14:textFill>
        </w:rPr>
        <w:t>23</w:t>
      </w:r>
      <w:r>
        <w:rPr>
          <w:rFonts w:hint="eastAsia" w:ascii="仿宋_GB2312" w:hAnsi="Times New Roman" w:eastAsia="仿宋_GB2312"/>
          <w:color w:val="000000" w:themeColor="text1"/>
          <w:sz w:val="32"/>
          <w:szCs w:val="32"/>
          <w:lang w:eastAsia="zh-CN"/>
          <w14:textFill>
            <w14:solidFill>
              <w14:schemeClr w14:val="tx1"/>
            </w14:solidFill>
          </w14:textFill>
        </w:rPr>
        <w:t>年全省生猪出栏</w:t>
      </w:r>
      <w:r>
        <w:rPr>
          <w:rFonts w:hint="eastAsia" w:ascii="仿宋_GB2312" w:hAnsi="Times New Roman" w:eastAsia="仿宋_GB2312"/>
          <w:color w:val="000000" w:themeColor="text1"/>
          <w:sz w:val="32"/>
          <w:szCs w:val="32"/>
          <w:lang w:val="en-US" w:eastAsia="zh-CN"/>
          <w14:textFill>
            <w14:solidFill>
              <w14:schemeClr w14:val="tx1"/>
            </w14:solidFill>
          </w14:textFill>
        </w:rPr>
        <w:t>3143.6</w:t>
      </w:r>
      <w:r>
        <w:rPr>
          <w:rFonts w:hint="eastAsia" w:ascii="仿宋_GB2312" w:hAnsi="Times New Roman" w:eastAsia="仿宋_GB2312"/>
          <w:color w:val="000000" w:themeColor="text1"/>
          <w:sz w:val="32"/>
          <w:szCs w:val="32"/>
          <w:lang w:eastAsia="zh-CN"/>
          <w14:textFill>
            <w14:solidFill>
              <w14:schemeClr w14:val="tx1"/>
            </w14:solidFill>
          </w14:textFill>
        </w:rPr>
        <w:t>万头，生猪存栏</w:t>
      </w:r>
      <w:r>
        <w:rPr>
          <w:rFonts w:hint="eastAsia" w:ascii="仿宋_GB2312" w:hAnsi="Times New Roman" w:eastAsia="仿宋_GB2312"/>
          <w:color w:val="000000" w:themeColor="text1"/>
          <w:sz w:val="32"/>
          <w:szCs w:val="32"/>
          <w:lang w:val="en-US" w:eastAsia="zh-CN"/>
          <w14:textFill>
            <w14:solidFill>
              <w14:schemeClr w14:val="tx1"/>
            </w14:solidFill>
          </w14:textFill>
        </w:rPr>
        <w:t>1676万头，</w:t>
      </w:r>
      <w:r>
        <w:rPr>
          <w:rFonts w:hint="eastAsia" w:ascii="仿宋_GB2312" w:hAnsi="Times New Roman" w:eastAsia="仿宋_GB2312"/>
          <w:color w:val="000000" w:themeColor="text1"/>
          <w:sz w:val="32"/>
          <w:szCs w:val="32"/>
          <w:lang w:eastAsia="zh-CN"/>
          <w14:textFill>
            <w14:solidFill>
              <w14:schemeClr w14:val="tx1"/>
            </w14:solidFill>
          </w14:textFill>
        </w:rPr>
        <w:t>年产生粪污（粪便、尿液和污水）约</w:t>
      </w:r>
      <w:r>
        <w:rPr>
          <w:rFonts w:hint="eastAsia" w:ascii="仿宋_GB2312" w:hAnsi="Times New Roman" w:eastAsia="仿宋_GB2312"/>
          <w:color w:val="000000" w:themeColor="text1"/>
          <w:sz w:val="32"/>
          <w:szCs w:val="32"/>
          <w:lang w:val="en-US" w:eastAsia="zh-CN"/>
          <w14:textFill>
            <w14:solidFill>
              <w14:schemeClr w14:val="tx1"/>
            </w14:solidFill>
          </w14:textFill>
        </w:rPr>
        <w:t>5000万吨</w:t>
      </w:r>
      <w:r>
        <w:rPr>
          <w:rFonts w:hint="eastAsia" w:ascii="仿宋_GB2312" w:hAnsi="Times New Roman" w:eastAsia="仿宋_GB2312"/>
          <w:color w:val="000000" w:themeColor="text1"/>
          <w:sz w:val="32"/>
          <w:szCs w:val="32"/>
          <w:lang w:eastAsia="zh-CN"/>
          <w14:textFill>
            <w14:solidFill>
              <w14:schemeClr w14:val="tx1"/>
            </w14:solidFill>
          </w14:textFill>
        </w:rPr>
        <w:t>。生猪养殖在保障畜产品有效供给的同时，养殖粪污也给环境带来了较大压力，如何治理生猪养殖粪污等废弃物，促进畜牧业绿色循环发展，是当今畜禽养殖面临的重大而迫切课题。国务院办公厅《关于加快推进畜禽养殖废弃物资源化利用的意见》（国办发〔2017〕48号）指出，要坚持源头减量、过程控制、末端利用的治理路径，为畜禽养殖废弃物处理利用指明了方向。</w:t>
      </w:r>
    </w:p>
    <w:p w14:paraId="060BC113">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lang w:eastAsia="zh-CN"/>
          <w14:textFill>
            <w14:solidFill>
              <w14:schemeClr w14:val="tx1"/>
            </w14:solidFill>
          </w14:textFill>
        </w:rPr>
        <w:t>针对养殖场（户）在粪污还田利用过程中存在的过度处理、利用粗放、养分流失、施用不规范等问题。江西省农业技术推广中心</w:t>
      </w:r>
      <w:r>
        <w:rPr>
          <w:rFonts w:hint="eastAsia" w:ascii="仿宋_GB2312" w:hAnsi="Times New Roman" w:eastAsia="仿宋_GB2312"/>
          <w:kern w:val="0"/>
          <w:sz w:val="32"/>
          <w:szCs w:val="32"/>
          <w:lang w:eastAsia="zh-CN"/>
        </w:rPr>
        <w:t>在长期的技术研究与示范推广的基础上，创制了</w:t>
      </w:r>
      <w:r>
        <w:rPr>
          <w:rFonts w:hint="eastAsia" w:eastAsia="仿宋_GB2312"/>
          <w:sz w:val="32"/>
          <w:szCs w:val="32"/>
          <w:lang w:eastAsia="zh-CN"/>
        </w:rPr>
        <w:t>猪场粪污全量还田利用技术，并</w:t>
      </w:r>
      <w:r>
        <w:rPr>
          <w:rFonts w:hint="eastAsia" w:ascii="仿宋_GB2312" w:hAnsi="Times New Roman" w:eastAsia="仿宋_GB2312"/>
          <w:kern w:val="0"/>
          <w:sz w:val="32"/>
          <w:szCs w:val="32"/>
        </w:rPr>
        <w:t>制定</w:t>
      </w:r>
      <w:r>
        <w:rPr>
          <w:rFonts w:hint="eastAsia" w:ascii="仿宋_GB2312" w:hAnsi="Times New Roman" w:eastAsia="仿宋_GB2312"/>
          <w:kern w:val="0"/>
          <w:sz w:val="32"/>
          <w:szCs w:val="32"/>
          <w:lang w:eastAsia="zh-CN"/>
        </w:rPr>
        <w:t>了</w:t>
      </w:r>
      <w:r>
        <w:rPr>
          <w:rFonts w:hint="eastAsia" w:eastAsia="仿宋_GB2312"/>
          <w:sz w:val="32"/>
          <w:szCs w:val="32"/>
          <w:lang w:eastAsia="zh-CN"/>
        </w:rPr>
        <w:t>《猪场粪污全量还田利用技术规范》地方</w:t>
      </w:r>
      <w:r>
        <w:rPr>
          <w:rFonts w:hint="eastAsia" w:ascii="仿宋_GB2312" w:hAnsi="Times New Roman" w:eastAsia="仿宋_GB2312"/>
          <w:kern w:val="0"/>
          <w:sz w:val="32"/>
          <w:szCs w:val="32"/>
        </w:rPr>
        <w:t>标准</w:t>
      </w:r>
      <w:r>
        <w:rPr>
          <w:rFonts w:hint="eastAsia" w:ascii="仿宋_GB2312" w:hAnsi="Times New Roman" w:eastAsia="仿宋_GB2312"/>
          <w:kern w:val="0"/>
          <w:sz w:val="32"/>
          <w:szCs w:val="32"/>
          <w:lang w:eastAsia="zh-CN"/>
        </w:rPr>
        <w:t>（该标准已通过专家审定，正在报批中）。该技术采取</w:t>
      </w:r>
      <w:r>
        <w:rPr>
          <w:rFonts w:hint="eastAsia" w:ascii="仿宋_GB2312" w:hAnsi="Times New Roman" w:eastAsia="仿宋_GB2312"/>
          <w:color w:val="000000" w:themeColor="text1"/>
          <w:sz w:val="32"/>
          <w:szCs w:val="32"/>
          <w:lang w:eastAsia="zh-CN"/>
          <w14:textFill>
            <w14:solidFill>
              <w14:schemeClr w14:val="tx1"/>
            </w14:solidFill>
          </w14:textFill>
        </w:rPr>
        <w:t>“</w:t>
      </w:r>
      <w:r>
        <w:rPr>
          <w:rFonts w:hint="eastAsia" w:ascii="仿宋_GB2312" w:hAnsi="Times New Roman" w:eastAsia="仿宋_GB2312"/>
          <w:color w:val="000000" w:themeColor="text1"/>
          <w:sz w:val="32"/>
          <w:szCs w:val="32"/>
          <w:lang w:val="en-US" w:eastAsia="zh-CN"/>
          <w14:textFill>
            <w14:solidFill>
              <w14:schemeClr w14:val="tx1"/>
            </w14:solidFill>
          </w14:textFill>
        </w:rPr>
        <w:t>粪污（粪便、尿液和污水）</w:t>
      </w:r>
      <w:r>
        <w:rPr>
          <w:rFonts w:hint="eastAsia" w:ascii="仿宋_GB2312" w:hAnsi="Times New Roman" w:eastAsia="仿宋_GB2312"/>
          <w:color w:val="000000" w:themeColor="text1"/>
          <w:sz w:val="32"/>
          <w:szCs w:val="32"/>
          <w:lang w:eastAsia="zh-CN"/>
          <w14:textFill>
            <w14:solidFill>
              <w14:schemeClr w14:val="tx1"/>
            </w14:solidFill>
          </w14:textFill>
        </w:rPr>
        <w:t>全量收集</w:t>
      </w:r>
      <w:r>
        <w:rPr>
          <w:rFonts w:hint="eastAsia" w:ascii="仿宋_GB2312" w:hAnsi="Times New Roman" w:eastAsia="仿宋_GB2312"/>
          <w:color w:val="000000" w:themeColor="text1"/>
          <w:sz w:val="32"/>
          <w:szCs w:val="32"/>
          <w:lang w:val="en-US" w:eastAsia="zh-CN"/>
          <w14:textFill>
            <w14:solidFill>
              <w14:schemeClr w14:val="tx1"/>
            </w14:solidFill>
          </w14:textFill>
        </w:rPr>
        <w:t>+氧化塘贮存发酵无害化处理+肥水全量还田利用</w:t>
      </w:r>
      <w:r>
        <w:rPr>
          <w:rFonts w:hint="eastAsia" w:ascii="仿宋_GB2312" w:hAnsi="Times New Roman" w:eastAsia="仿宋_GB2312"/>
          <w:color w:val="000000" w:themeColor="text1"/>
          <w:sz w:val="32"/>
          <w:szCs w:val="32"/>
          <w:lang w:eastAsia="zh-CN"/>
          <w14:textFill>
            <w14:solidFill>
              <w14:schemeClr w14:val="tx1"/>
            </w14:solidFill>
          </w14:textFill>
        </w:rPr>
        <w:t>”工艺，降低了猪场的设施设备要求和粪污收集处理成本，对粪污中的氮、磷等养分资源充分加以利用，减少了COD、N、P等涉水污染物的排放，经济效益和社会效益均非常明显。</w:t>
      </w:r>
    </w:p>
    <w:p w14:paraId="0807B84F">
      <w:pPr>
        <w:keepNext w:val="0"/>
        <w:keepLines w:val="0"/>
        <w:pageBreakBefore w:val="0"/>
        <w:widowControl w:val="0"/>
        <w:kinsoku/>
        <w:wordWrap/>
        <w:overflowPunct/>
        <w:topLinePunct w:val="0"/>
        <w:bidi w:val="0"/>
        <w:snapToGrid/>
        <w:spacing w:line="560" w:lineRule="exact"/>
        <w:ind w:firstLine="640"/>
        <w:textAlignment w:val="auto"/>
        <w:rPr>
          <w:rFonts w:ascii="仿宋_GB2312" w:hAnsi="Times New Roman" w:eastAsia="仿宋_GB2312"/>
          <w:color w:val="000000" w:themeColor="text1"/>
          <w:sz w:val="28"/>
          <w:szCs w:val="28"/>
          <w14:textFill>
            <w14:solidFill>
              <w14:schemeClr w14:val="tx1"/>
            </w14:solidFill>
          </w14:textFill>
        </w:rPr>
      </w:pPr>
      <w:r>
        <w:rPr>
          <w:rFonts w:ascii="楷体" w:hAnsi="楷体" w:eastAsia="楷体"/>
          <w:b/>
          <w:bCs/>
          <w:color w:val="000000" w:themeColor="text1"/>
          <w:sz w:val="32"/>
          <w:szCs w:val="32"/>
          <w14:textFill>
            <w14:solidFill>
              <w14:schemeClr w14:val="tx1"/>
            </w14:solidFill>
          </w14:textFill>
        </w:rPr>
        <w:t>（二）</w:t>
      </w:r>
      <w:r>
        <w:rPr>
          <w:rFonts w:hint="default" w:ascii="Times New Roman" w:hAnsi="Times New Roman" w:eastAsia="楷体_GB2312" w:cs="Times New Roman"/>
          <w:b/>
          <w:bCs/>
          <w:color w:val="000000" w:themeColor="text1"/>
          <w:sz w:val="32"/>
          <w:szCs w:val="32"/>
          <w14:textFill>
            <w14:solidFill>
              <w14:schemeClr w14:val="tx1"/>
            </w14:solidFill>
          </w14:textFill>
        </w:rPr>
        <w:t>推广应用</w:t>
      </w:r>
      <w:r>
        <w:rPr>
          <w:rFonts w:ascii="Times New Roman" w:hAnsi="Times New Roman" w:eastAsia="楷体_GB2312" w:cs="Times New Roman"/>
          <w:b/>
          <w:bCs/>
          <w:color w:val="000000" w:themeColor="text1"/>
          <w:sz w:val="32"/>
          <w:szCs w:val="32"/>
          <w14:textFill>
            <w14:solidFill>
              <w14:schemeClr w14:val="tx1"/>
            </w14:solidFill>
          </w14:textFill>
        </w:rPr>
        <w:t>情况</w:t>
      </w:r>
    </w:p>
    <w:p w14:paraId="0B1508C9">
      <w:pPr>
        <w:keepNext w:val="0"/>
        <w:keepLines w:val="0"/>
        <w:pageBreakBefore w:val="0"/>
        <w:widowControl w:val="0"/>
        <w:kinsoku/>
        <w:wordWrap/>
        <w:overflowPunct/>
        <w:topLinePunct w:val="0"/>
        <w:autoSpaceDE/>
        <w:autoSpaceDN/>
        <w:bidi w:val="0"/>
        <w:adjustRightInd/>
        <w:snapToGrid/>
        <w:spacing w:line="560" w:lineRule="exact"/>
        <w:ind w:firstLine="641"/>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eastAsia="仿宋_GB2312"/>
          <w:sz w:val="32"/>
          <w:szCs w:val="32"/>
          <w:lang w:eastAsia="zh-CN"/>
        </w:rPr>
        <w:t>省农业技术推广中心畜牧水产技术推广应用处长期开展畜禽粪污资源化利用技术研究与示范推广工作，跟踪指导万载县（</w:t>
      </w:r>
      <w:r>
        <w:rPr>
          <w:rFonts w:hint="default" w:ascii="Times New Roman" w:hAnsi="Times New Roman" w:eastAsia="仿宋_GB2312" w:cs="Times New Roman"/>
          <w:sz w:val="32"/>
          <w:szCs w:val="32"/>
          <w:lang w:eastAsia="zh-CN"/>
        </w:rPr>
        <w:t>全国</w:t>
      </w:r>
      <w:r>
        <w:rPr>
          <w:rFonts w:hint="default" w:ascii="Times New Roman" w:hAnsi="Times New Roman" w:eastAsia="仿宋_GB2312" w:cs="Times New Roman"/>
          <w:sz w:val="32"/>
          <w:szCs w:val="32"/>
          <w:lang w:val="en-US" w:eastAsia="zh-CN"/>
        </w:rPr>
        <w:t>12个试点县之一</w:t>
      </w:r>
      <w:r>
        <w:rPr>
          <w:rFonts w:hint="default" w:ascii="Times New Roman" w:hAnsi="Times New Roman" w:eastAsia="仿宋_GB2312" w:cs="Times New Roman"/>
          <w:sz w:val="32"/>
          <w:szCs w:val="32"/>
          <w:lang w:eastAsia="zh-CN"/>
        </w:rPr>
        <w:t>）实施畜禽粪肥还田试点项目，</w:t>
      </w:r>
      <w:r>
        <w:rPr>
          <w:rFonts w:hint="default" w:ascii="Times New Roman" w:hAnsi="Times New Roman" w:eastAsia="仿宋_GB2312" w:cs="Times New Roman"/>
          <w:sz w:val="32"/>
          <w:szCs w:val="32"/>
          <w:lang w:val="en-US" w:eastAsia="zh-CN"/>
        </w:rPr>
        <w:t>参与绿色种养循环项目技术指导工作，</w:t>
      </w:r>
      <w:r>
        <w:rPr>
          <w:rFonts w:hint="default" w:ascii="Times New Roman" w:hAnsi="Times New Roman" w:eastAsia="仿宋_GB2312" w:cs="Times New Roman"/>
          <w:sz w:val="32"/>
          <w:szCs w:val="32"/>
          <w:lang w:eastAsia="zh-CN"/>
        </w:rPr>
        <w:t>在全南县、万年县、吉安县、高安市等地建立了猪场粪污全量还田利用技术示范点，示范点年出栏生猪10万头以上</w:t>
      </w:r>
      <w:r>
        <w:rPr>
          <w:rFonts w:hint="eastAsia" w:eastAsia="仿宋_GB2312"/>
          <w:sz w:val="32"/>
          <w:szCs w:val="32"/>
          <w:lang w:eastAsia="zh-CN"/>
        </w:rPr>
        <w:t>。</w:t>
      </w:r>
      <w:r>
        <w:rPr>
          <w:rFonts w:hint="eastAsia" w:ascii="仿宋_GB2312" w:hAnsi="仿宋_GB2312" w:eastAsia="仿宋_GB2312" w:cs="仿宋_GB2312"/>
          <w:sz w:val="32"/>
          <w:szCs w:val="32"/>
          <w:lang w:eastAsia="zh-CN"/>
        </w:rPr>
        <w:t>该技术入选了</w:t>
      </w:r>
      <w:r>
        <w:rPr>
          <w:rFonts w:hint="eastAsia" w:ascii="仿宋_GB2312" w:hAnsi="仿宋_GB2312" w:eastAsia="仿宋_GB2312" w:cs="仿宋_GB2312"/>
          <w:sz w:val="32"/>
          <w:szCs w:val="32"/>
          <w:lang w:val="en-US" w:eastAsia="zh-CN"/>
        </w:rPr>
        <w:t>2025年省农业主推技术，在万年县、余江区、全南县、兴国县、信丰县、吉安县、安福县、新干县、都昌县、进贤县等10个县（市、区）推广应用，计划在30个以上主体（猪场、合作社）应用，资源化利用生猪粪污50万立方米以上。</w:t>
      </w:r>
    </w:p>
    <w:p w14:paraId="2B366134">
      <w:pPr>
        <w:keepNext w:val="0"/>
        <w:keepLines w:val="0"/>
        <w:pageBreakBefore w:val="0"/>
        <w:widowControl w:val="0"/>
        <w:kinsoku/>
        <w:wordWrap/>
        <w:overflowPunct/>
        <w:topLinePunct w:val="0"/>
        <w:bidi w:val="0"/>
        <w:snapToGrid/>
        <w:spacing w:line="560" w:lineRule="exact"/>
        <w:ind w:firstLine="640"/>
        <w:textAlignment w:val="auto"/>
        <w:rPr>
          <w:rFonts w:ascii="仿宋_GB2312" w:hAnsi="Times New Roman" w:eastAsia="仿宋_GB2312"/>
          <w:color w:val="000000" w:themeColor="text1"/>
          <w:sz w:val="28"/>
          <w:szCs w:val="28"/>
          <w14:textFill>
            <w14:solidFill>
              <w14:schemeClr w14:val="tx1"/>
            </w14:solidFill>
          </w14:textFill>
        </w:rPr>
      </w:pPr>
      <w:r>
        <w:rPr>
          <w:rFonts w:ascii="楷体" w:hAnsi="楷体" w:eastAsia="楷体"/>
          <w:b/>
          <w:bCs/>
          <w:color w:val="000000" w:themeColor="text1"/>
          <w:sz w:val="32"/>
          <w:szCs w:val="32"/>
          <w14:textFill>
            <w14:solidFill>
              <w14:schemeClr w14:val="tx1"/>
            </w14:solidFill>
          </w14:textFill>
        </w:rPr>
        <w:t>（三）</w:t>
      </w:r>
      <w:r>
        <w:rPr>
          <w:rFonts w:hint="eastAsia" w:ascii="Times New Roman" w:hAnsi="Times New Roman" w:eastAsia="楷体_GB2312" w:cs="Times New Roman"/>
          <w:b/>
          <w:bCs/>
          <w:color w:val="000000" w:themeColor="text1"/>
          <w:sz w:val="32"/>
          <w:szCs w:val="32"/>
          <w:lang w:eastAsia="zh-CN"/>
          <w14:textFill>
            <w14:solidFill>
              <w14:schemeClr w14:val="tx1"/>
            </w14:solidFill>
          </w14:textFill>
        </w:rPr>
        <w:t>技术效果</w:t>
      </w:r>
    </w:p>
    <w:p w14:paraId="366F5879">
      <w:pPr>
        <w:keepNext w:val="0"/>
        <w:keepLines w:val="0"/>
        <w:pageBreakBefore w:val="0"/>
        <w:widowControl w:val="0"/>
        <w:kinsoku/>
        <w:wordWrap/>
        <w:overflowPunct/>
        <w:topLinePunct w:val="0"/>
        <w:autoSpaceDE/>
        <w:autoSpaceDN/>
        <w:bidi w:val="0"/>
        <w:adjustRightInd/>
        <w:snapToGrid/>
        <w:spacing w:line="560" w:lineRule="exact"/>
        <w:ind w:firstLine="641"/>
        <w:textAlignment w:val="auto"/>
        <w:rPr>
          <w:rFonts w:hint="eastAsia" w:ascii="仿宋_GB2312" w:hAnsi="Times New Roman" w:eastAsia="仿宋_GB2312"/>
          <w:color w:val="000000" w:themeColor="text1"/>
          <w:sz w:val="32"/>
          <w:szCs w:val="32"/>
          <w14:textFill>
            <w14:solidFill>
              <w14:schemeClr w14:val="tx1"/>
            </w14:solidFill>
          </w14:textFill>
        </w:rPr>
      </w:pPr>
      <w:r>
        <w:rPr>
          <w:rFonts w:hint="eastAsia" w:ascii="仿宋_GB2312" w:hAnsi="Times New Roman" w:eastAsia="仿宋_GB2312"/>
          <w:b/>
          <w:bCs/>
          <w:color w:val="000000" w:themeColor="text1"/>
          <w:sz w:val="32"/>
          <w:szCs w:val="32"/>
          <w14:textFill>
            <w14:solidFill>
              <w14:schemeClr w14:val="tx1"/>
            </w14:solidFill>
          </w14:textFill>
        </w:rPr>
        <w:t>经济效益：</w:t>
      </w:r>
      <w:r>
        <w:rPr>
          <w:rFonts w:hint="eastAsia" w:ascii="仿宋_GB2312" w:hAnsi="Times New Roman" w:eastAsia="仿宋_GB2312"/>
          <w:color w:val="000000" w:themeColor="text1"/>
          <w:sz w:val="32"/>
          <w:szCs w:val="32"/>
          <w14:textFill>
            <w14:solidFill>
              <w14:schemeClr w14:val="tx1"/>
            </w14:solidFill>
          </w14:textFill>
        </w:rPr>
        <w:t>粪污全量还田利用</w:t>
      </w:r>
      <w:r>
        <w:rPr>
          <w:rFonts w:hint="eastAsia" w:ascii="仿宋_GB2312" w:hAnsi="Times New Roman" w:eastAsia="仿宋_GB2312"/>
          <w:color w:val="000000" w:themeColor="text1"/>
          <w:sz w:val="32"/>
          <w:szCs w:val="32"/>
          <w:lang w:eastAsia="zh-CN"/>
          <w14:textFill>
            <w14:solidFill>
              <w14:schemeClr w14:val="tx1"/>
            </w14:solidFill>
          </w14:textFill>
        </w:rPr>
        <w:t>技术</w:t>
      </w:r>
      <w:r>
        <w:rPr>
          <w:rFonts w:hint="eastAsia" w:ascii="仿宋_GB2312" w:hAnsi="Times New Roman" w:eastAsia="仿宋_GB2312"/>
          <w:color w:val="000000" w:themeColor="text1"/>
          <w:sz w:val="32"/>
          <w:szCs w:val="32"/>
          <w14:textFill>
            <w14:solidFill>
              <w14:schemeClr w14:val="tx1"/>
            </w14:solidFill>
          </w14:textFill>
        </w:rPr>
        <w:t>不但可以节省</w:t>
      </w:r>
      <w:r>
        <w:rPr>
          <w:rFonts w:hint="eastAsia" w:ascii="仿宋_GB2312" w:hAnsi="Times New Roman" w:eastAsia="仿宋_GB2312"/>
          <w:color w:val="000000" w:themeColor="text1"/>
          <w:sz w:val="32"/>
          <w:szCs w:val="32"/>
          <w:lang w:eastAsia="zh-CN"/>
          <w14:textFill>
            <w14:solidFill>
              <w14:schemeClr w14:val="tx1"/>
            </w14:solidFill>
          </w14:textFill>
        </w:rPr>
        <w:t>养殖场</w:t>
      </w:r>
      <w:r>
        <w:rPr>
          <w:rFonts w:hint="eastAsia" w:ascii="仿宋_GB2312" w:hAnsi="Times New Roman" w:eastAsia="仿宋_GB2312"/>
          <w:color w:val="000000" w:themeColor="text1"/>
          <w:sz w:val="32"/>
          <w:szCs w:val="32"/>
          <w14:textFill>
            <w14:solidFill>
              <w14:schemeClr w14:val="tx1"/>
            </w14:solidFill>
          </w14:textFill>
        </w:rPr>
        <w:t>污水处理费用（20元/吨</w:t>
      </w:r>
      <w:r>
        <w:rPr>
          <w:rFonts w:hint="eastAsia" w:ascii="仿宋_GB2312" w:hAnsi="Times New Roman" w:eastAsia="仿宋_GB2312"/>
          <w:color w:val="000000" w:themeColor="text1"/>
          <w:sz w:val="32"/>
          <w:szCs w:val="32"/>
          <w:lang w:eastAsia="zh-CN"/>
          <w14:textFill>
            <w14:solidFill>
              <w14:schemeClr w14:val="tx1"/>
            </w14:solidFill>
          </w14:textFill>
        </w:rPr>
        <w:t>左右</w:t>
      </w:r>
      <w:r>
        <w:rPr>
          <w:rFonts w:hint="eastAsia" w:ascii="仿宋_GB2312" w:hAnsi="Times New Roman" w:eastAsia="仿宋_GB2312"/>
          <w:color w:val="000000" w:themeColor="text1"/>
          <w:sz w:val="32"/>
          <w:szCs w:val="32"/>
          <w14:textFill>
            <w14:solidFill>
              <w14:schemeClr w14:val="tx1"/>
            </w14:solidFill>
          </w14:textFill>
        </w:rPr>
        <w:t>），还可以替代化肥，据测算1个万头猪场，一年产生的粪污中可利用的氮折算成尿素约50吨，替代肥料价值10多万元。</w:t>
      </w:r>
    </w:p>
    <w:p w14:paraId="371D38FC">
      <w:pPr>
        <w:keepNext w:val="0"/>
        <w:keepLines w:val="0"/>
        <w:pageBreakBefore w:val="0"/>
        <w:widowControl w:val="0"/>
        <w:kinsoku/>
        <w:wordWrap/>
        <w:overflowPunct/>
        <w:topLinePunct w:val="0"/>
        <w:autoSpaceDE/>
        <w:autoSpaceDN/>
        <w:bidi w:val="0"/>
        <w:adjustRightInd/>
        <w:snapToGrid/>
        <w:spacing w:line="560" w:lineRule="exact"/>
        <w:ind w:firstLine="641"/>
        <w:textAlignment w:val="auto"/>
        <w:rPr>
          <w:rFonts w:ascii="仿宋_GB2312" w:hAnsi="Times New Roman" w:eastAsia="仿宋_GB2312"/>
          <w:color w:val="000000" w:themeColor="text1"/>
          <w:sz w:val="32"/>
          <w:szCs w:val="32"/>
          <w14:textFill>
            <w14:solidFill>
              <w14:schemeClr w14:val="tx1"/>
            </w14:solidFill>
          </w14:textFill>
        </w:rPr>
      </w:pPr>
      <w:r>
        <w:rPr>
          <w:rFonts w:hint="eastAsia" w:ascii="仿宋_GB2312" w:hAnsi="Times New Roman" w:eastAsia="仿宋_GB2312"/>
          <w:b/>
          <w:bCs/>
          <w:color w:val="000000" w:themeColor="text1"/>
          <w:sz w:val="32"/>
          <w:szCs w:val="32"/>
          <w14:textFill>
            <w14:solidFill>
              <w14:schemeClr w14:val="tx1"/>
            </w14:solidFill>
          </w14:textFill>
        </w:rPr>
        <w:t>生态效益：</w:t>
      </w:r>
      <w:r>
        <w:rPr>
          <w:rFonts w:hint="eastAsia" w:ascii="仿宋_GB2312" w:hAnsi="Times New Roman" w:eastAsia="仿宋_GB2312"/>
          <w:color w:val="000000" w:themeColor="text1"/>
          <w:sz w:val="32"/>
          <w:szCs w:val="32"/>
          <w14:textFill>
            <w14:solidFill>
              <w14:schemeClr w14:val="tx1"/>
            </w14:solidFill>
          </w14:textFill>
        </w:rPr>
        <w:t>粪污全量还田利用</w:t>
      </w:r>
      <w:r>
        <w:rPr>
          <w:rFonts w:hint="eastAsia" w:ascii="仿宋_GB2312" w:hAnsi="Times New Roman" w:eastAsia="仿宋_GB2312"/>
          <w:color w:val="000000" w:themeColor="text1"/>
          <w:sz w:val="32"/>
          <w:szCs w:val="32"/>
          <w:lang w:eastAsia="zh-CN"/>
          <w14:textFill>
            <w14:solidFill>
              <w14:schemeClr w14:val="tx1"/>
            </w14:solidFill>
          </w14:textFill>
        </w:rPr>
        <w:t>技术</w:t>
      </w:r>
      <w:r>
        <w:rPr>
          <w:rFonts w:hint="eastAsia" w:ascii="仿宋_GB2312" w:hAnsi="Times New Roman" w:eastAsia="仿宋_GB2312"/>
          <w:color w:val="000000" w:themeColor="text1"/>
          <w:sz w:val="32"/>
          <w:szCs w:val="32"/>
          <w14:textFill>
            <w14:solidFill>
              <w14:schemeClr w14:val="tx1"/>
            </w14:solidFill>
          </w14:textFill>
        </w:rPr>
        <w:t>可以解决养殖场</w:t>
      </w:r>
      <w:r>
        <w:rPr>
          <w:rFonts w:hint="eastAsia" w:ascii="仿宋_GB2312" w:hAnsi="Times New Roman" w:eastAsia="仿宋_GB2312"/>
          <w:color w:val="000000" w:themeColor="text1"/>
          <w:sz w:val="32"/>
          <w:szCs w:val="32"/>
          <w:lang w:eastAsia="zh-CN"/>
          <w14:textFill>
            <w14:solidFill>
              <w14:schemeClr w14:val="tx1"/>
            </w14:solidFill>
          </w14:textFill>
        </w:rPr>
        <w:t>环境</w:t>
      </w:r>
      <w:r>
        <w:rPr>
          <w:rFonts w:hint="eastAsia" w:ascii="仿宋_GB2312" w:hAnsi="Times New Roman" w:eastAsia="仿宋_GB2312"/>
          <w:color w:val="000000" w:themeColor="text1"/>
          <w:sz w:val="32"/>
          <w:szCs w:val="32"/>
          <w14:textFill>
            <w14:solidFill>
              <w14:schemeClr w14:val="tx1"/>
            </w14:solidFill>
          </w14:textFill>
        </w:rPr>
        <w:t>污染问题，相比达标排放模式可减少COD、N、P等涉水污染物的排放，还可以改良土壤，社会生态效益十分显著。</w:t>
      </w:r>
    </w:p>
    <w:p w14:paraId="55F0E2E0">
      <w:pPr>
        <w:keepNext w:val="0"/>
        <w:keepLines w:val="0"/>
        <w:pageBreakBefore w:val="0"/>
        <w:widowControl w:val="0"/>
        <w:kinsoku/>
        <w:wordWrap/>
        <w:overflowPunct/>
        <w:topLinePunct w:val="0"/>
        <w:bidi w:val="0"/>
        <w:snapToGrid w:val="0"/>
        <w:spacing w:line="560" w:lineRule="exact"/>
        <w:ind w:firstLine="643" w:firstLineChars="200"/>
        <w:textAlignment w:val="auto"/>
        <w:rPr>
          <w:rFonts w:hint="eastAsia" w:ascii="楷体" w:hAnsi="楷体" w:eastAsia="楷体"/>
          <w:b/>
          <w:bCs/>
          <w:color w:val="000000" w:themeColor="text1"/>
          <w:sz w:val="32"/>
          <w:szCs w:val="32"/>
          <w14:textFill>
            <w14:solidFill>
              <w14:schemeClr w14:val="tx1"/>
            </w14:solidFill>
          </w14:textFill>
        </w:rPr>
      </w:pPr>
      <w:r>
        <w:rPr>
          <w:rFonts w:hint="eastAsia" w:ascii="楷体" w:hAnsi="楷体" w:eastAsia="楷体"/>
          <w:b/>
          <w:bCs/>
          <w:color w:val="000000" w:themeColor="text1"/>
          <w:sz w:val="32"/>
          <w:szCs w:val="32"/>
          <w14:textFill>
            <w14:solidFill>
              <w14:schemeClr w14:val="tx1"/>
            </w14:solidFill>
          </w14:textFill>
        </w:rPr>
        <w:t>（四）</w:t>
      </w:r>
      <w:r>
        <w:rPr>
          <w:rFonts w:hint="eastAsia" w:ascii="Times New Roman" w:hAnsi="Times New Roman" w:eastAsia="楷体_GB2312" w:cs="Times New Roman"/>
          <w:b/>
          <w:bCs/>
          <w:color w:val="000000" w:themeColor="text1"/>
          <w:sz w:val="32"/>
          <w:szCs w:val="32"/>
          <w:lang w:eastAsia="zh-CN"/>
          <w14:textFill>
            <w14:solidFill>
              <w14:schemeClr w14:val="tx1"/>
            </w14:solidFill>
          </w14:textFill>
        </w:rPr>
        <w:t>入选和</w:t>
      </w:r>
      <w:r>
        <w:rPr>
          <w:rFonts w:hint="default" w:ascii="Times New Roman" w:hAnsi="Times New Roman" w:eastAsia="楷体_GB2312" w:cs="Times New Roman"/>
          <w:b/>
          <w:bCs/>
          <w:color w:val="000000" w:themeColor="text1"/>
          <w:sz w:val="32"/>
          <w:szCs w:val="32"/>
          <w14:textFill>
            <w14:solidFill>
              <w14:schemeClr w14:val="tx1"/>
            </w14:solidFill>
          </w14:textFill>
        </w:rPr>
        <w:t>获奖情况</w:t>
      </w:r>
    </w:p>
    <w:p w14:paraId="43AEDCAA">
      <w:pPr>
        <w:keepNext w:val="0"/>
        <w:keepLines w:val="0"/>
        <w:pageBreakBefore w:val="0"/>
        <w:widowControl w:val="0"/>
        <w:kinsoku/>
        <w:wordWrap/>
        <w:overflowPunct/>
        <w:topLinePunct w:val="0"/>
        <w:autoSpaceDE/>
        <w:autoSpaceDN/>
        <w:bidi w:val="0"/>
        <w:adjustRightInd/>
        <w:snapToGrid/>
        <w:spacing w:line="560" w:lineRule="exact"/>
        <w:ind w:firstLine="641"/>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color w:val="000000" w:themeColor="text1"/>
          <w:sz w:val="32"/>
          <w:szCs w:val="32"/>
          <w:lang w:eastAsia="zh-CN"/>
          <w14:textFill>
            <w14:solidFill>
              <w14:schemeClr w14:val="tx1"/>
            </w14:solidFill>
          </w14:textFill>
        </w:rPr>
        <w:t>该技术入选了</w:t>
      </w:r>
      <w:r>
        <w:rPr>
          <w:rFonts w:hint="eastAsia" w:ascii="仿宋_GB2312" w:hAnsi="Times New Roman" w:eastAsia="仿宋_GB2312"/>
          <w:color w:val="000000" w:themeColor="text1"/>
          <w:sz w:val="32"/>
          <w:szCs w:val="32"/>
          <w:lang w:val="en-US" w:eastAsia="zh-CN"/>
          <w14:textFill>
            <w14:solidFill>
              <w14:schemeClr w14:val="tx1"/>
            </w14:solidFill>
          </w14:textFill>
        </w:rPr>
        <w:t>2025年省农业主推技术</w:t>
      </w:r>
      <w:r>
        <w:rPr>
          <w:rFonts w:hint="eastAsia" w:ascii="仿宋_GB2312" w:hAnsi="Times New Roman" w:eastAsia="仿宋_GB2312"/>
          <w:color w:val="000000" w:themeColor="text1"/>
          <w:sz w:val="32"/>
          <w:szCs w:val="32"/>
          <w:lang w:eastAsia="zh-CN"/>
          <w14:textFill>
            <w14:solidFill>
              <w14:schemeClr w14:val="tx1"/>
            </w14:solidFill>
          </w14:textFill>
        </w:rPr>
        <w:t>。集成了</w:t>
      </w:r>
      <w:r>
        <w:rPr>
          <w:rFonts w:hint="eastAsia" w:eastAsia="仿宋_GB2312"/>
          <w:sz w:val="32"/>
          <w:szCs w:val="32"/>
          <w:lang w:eastAsia="zh-CN"/>
        </w:rPr>
        <w:t>猪场粪污全量还田利用技术的</w:t>
      </w:r>
      <w:r>
        <w:rPr>
          <w:rFonts w:hint="eastAsia" w:ascii="仿宋_GB2312" w:hAnsi="Times New Roman" w:eastAsia="仿宋_GB2312"/>
          <w:color w:val="000000" w:themeColor="text1"/>
          <w:sz w:val="32"/>
          <w:szCs w:val="32"/>
          <w:lang w:eastAsia="zh-CN"/>
          <w14:textFill>
            <w14:solidFill>
              <w14:schemeClr w14:val="tx1"/>
            </w14:solidFill>
          </w14:textFill>
        </w:rPr>
        <w:t>《</w:t>
      </w:r>
      <w:r>
        <w:rPr>
          <w:rFonts w:hint="eastAsia" w:ascii="仿宋_GB2312" w:hAnsi="Times New Roman" w:eastAsia="仿宋_GB2312"/>
          <w:color w:val="000000" w:themeColor="text1"/>
          <w:sz w:val="32"/>
          <w:szCs w:val="32"/>
          <w:lang w:val="en-US" w:eastAsia="zh-CN"/>
          <w14:textFill>
            <w14:solidFill>
              <w14:schemeClr w14:val="tx1"/>
            </w14:solidFill>
          </w14:textFill>
        </w:rPr>
        <w:t>鄱阳湖流域畜禽粪污资源化高效利用关键技术集成与推广》项目取得了科技成果登记证书。</w:t>
      </w:r>
    </w:p>
    <w:p w14:paraId="07273BD9">
      <w:pPr>
        <w:keepNext w:val="0"/>
        <w:keepLines w:val="0"/>
        <w:pageBreakBefore w:val="0"/>
        <w:widowControl w:val="0"/>
        <w:kinsoku/>
        <w:wordWrap/>
        <w:overflowPunct/>
        <w:topLinePunct w:val="0"/>
        <w:bidi w:val="0"/>
        <w:snapToGrid/>
        <w:spacing w:line="560" w:lineRule="exact"/>
        <w:ind w:firstLine="640" w:firstLineChars="200"/>
        <w:textAlignment w:val="auto"/>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32"/>
          <w:szCs w:val="32"/>
          <w14:textFill>
            <w14:solidFill>
              <w14:schemeClr w14:val="tx1"/>
            </w14:solidFill>
          </w14:textFill>
        </w:rPr>
        <w:t>二、技术要点</w:t>
      </w:r>
    </w:p>
    <w:p w14:paraId="772E3FBA">
      <w:pPr>
        <w:keepNext w:val="0"/>
        <w:keepLines w:val="0"/>
        <w:pageBreakBefore w:val="0"/>
        <w:widowControl w:val="0"/>
        <w:kinsoku/>
        <w:wordWrap/>
        <w:overflowPunct/>
        <w:topLinePunct w:val="0"/>
        <w:bidi w:val="0"/>
        <w:snapToGrid/>
        <w:spacing w:line="560" w:lineRule="exact"/>
        <w:ind w:firstLine="643" w:firstLineChars="200"/>
        <w:textAlignment w:val="auto"/>
        <w:rPr>
          <w:rFonts w:hint="eastAsia" w:ascii="楷体_GB2312" w:hAnsi="楷体" w:eastAsia="楷体_GB2312"/>
          <w:b/>
          <w:bCs/>
          <w:color w:val="000000" w:themeColor="text1"/>
          <w:sz w:val="32"/>
          <w:szCs w:val="32"/>
          <w:lang w:eastAsia="zh-CN"/>
          <w14:textFill>
            <w14:solidFill>
              <w14:schemeClr w14:val="tx1"/>
            </w14:solidFill>
          </w14:textFill>
        </w:rPr>
      </w:pPr>
      <w:r>
        <w:rPr>
          <w:rFonts w:hint="eastAsia" w:ascii="楷体_GB2312" w:hAnsi="楷体" w:eastAsia="楷体_GB2312"/>
          <w:b/>
          <w:bCs/>
          <w:color w:val="000000" w:themeColor="text1"/>
          <w:sz w:val="32"/>
          <w:szCs w:val="32"/>
          <w14:textFill>
            <w14:solidFill>
              <w14:schemeClr w14:val="tx1"/>
            </w14:solidFill>
          </w14:textFill>
        </w:rPr>
        <w:t>（一）</w:t>
      </w:r>
      <w:r>
        <w:rPr>
          <w:rFonts w:hint="eastAsia" w:ascii="楷体_GB2312" w:hAnsi="楷体" w:eastAsia="楷体_GB2312"/>
          <w:b/>
          <w:bCs/>
          <w:color w:val="000000" w:themeColor="text1"/>
          <w:sz w:val="32"/>
          <w:szCs w:val="32"/>
          <w:lang w:eastAsia="zh-CN"/>
          <w14:textFill>
            <w14:solidFill>
              <w14:schemeClr w14:val="tx1"/>
            </w14:solidFill>
          </w14:textFill>
        </w:rPr>
        <w:t>设施设备</w:t>
      </w:r>
    </w:p>
    <w:p w14:paraId="1E11C5C8">
      <w:pPr>
        <w:keepNext w:val="0"/>
        <w:keepLines w:val="0"/>
        <w:pageBreakBefore w:val="0"/>
        <w:widowControl w:val="0"/>
        <w:kinsoku/>
        <w:wordWrap/>
        <w:overflowPunct/>
        <w:topLinePunct w:val="0"/>
        <w:autoSpaceDE/>
        <w:autoSpaceDN/>
        <w:bidi w:val="0"/>
        <w:adjustRightInd/>
        <w:snapToGrid/>
        <w:spacing w:line="560" w:lineRule="exact"/>
        <w:ind w:firstLine="640"/>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color w:val="000000" w:themeColor="text1"/>
          <w:sz w:val="32"/>
          <w:szCs w:val="32"/>
          <w:lang w:eastAsia="zh-CN"/>
          <w14:textFill>
            <w14:solidFill>
              <w14:schemeClr w14:val="tx1"/>
            </w14:solidFill>
          </w14:textFill>
        </w:rPr>
        <w:t>猪场应配备以下设施设备：</w:t>
      </w:r>
    </w:p>
    <w:p w14:paraId="736478C0">
      <w:pPr>
        <w:pStyle w:val="11"/>
        <w:keepNext w:val="0"/>
        <w:keepLines w:val="0"/>
        <w:pageBreakBefore w:val="0"/>
        <w:widowControl w:val="0"/>
        <w:kinsoku/>
        <w:wordWrap/>
        <w:overflowPunct/>
        <w:topLinePunct w:val="0"/>
        <w:bidi w:val="0"/>
        <w:adjustRightInd/>
        <w:snapToGrid/>
        <w:spacing w:line="560" w:lineRule="exact"/>
        <w:ind w:firstLine="643" w:firstLineChars="200"/>
        <w:jc w:val="left"/>
        <w:textAlignment w:val="auto"/>
        <w:outlineLvl w:val="2"/>
        <w:rPr>
          <w:rFonts w:hint="eastAsia" w:ascii="仿宋_GB2312" w:hAnsi="Times New Roman" w:eastAsia="仿宋_GB2312" w:cstheme="minorBidi"/>
          <w:color w:val="000000" w:themeColor="text1"/>
          <w:kern w:val="2"/>
          <w:sz w:val="28"/>
          <w:szCs w:val="28"/>
          <w:lang w:val="en-US" w:eastAsia="zh-CN" w:bidi="ar-SA"/>
          <w14:textFill>
            <w14:solidFill>
              <w14:schemeClr w14:val="tx1"/>
            </w14:solidFill>
          </w14:textFill>
        </w:rPr>
      </w:pPr>
      <w:r>
        <w:rPr>
          <w:rFonts w:hint="eastAsia" w:ascii="仿宋_GB2312" w:hAnsi="Times New Roman" w:eastAsia="仿宋_GB2312" w:cstheme="minorBidi"/>
          <w:b/>
          <w:bCs/>
          <w:color w:val="000000" w:themeColor="text1"/>
          <w:kern w:val="2"/>
          <w:sz w:val="32"/>
          <w:szCs w:val="32"/>
          <w:lang w:val="en-US" w:eastAsia="zh-CN" w:bidi="ar-SA"/>
          <w14:textFill>
            <w14:solidFill>
              <w14:schemeClr w14:val="tx1"/>
            </w14:solidFill>
          </w14:textFill>
        </w:rPr>
        <w:t>1.收集池。</w:t>
      </w:r>
      <w:r>
        <w:rPr>
          <w:rFonts w:hint="eastAsia" w:ascii="仿宋_GB2312" w:eastAsia="仿宋_GB2312" w:cstheme="minorBidi"/>
          <w:b w:val="0"/>
          <w:bCs w:val="0"/>
          <w:color w:val="000000" w:themeColor="text1"/>
          <w:kern w:val="2"/>
          <w:sz w:val="32"/>
          <w:szCs w:val="32"/>
          <w:lang w:val="en-US" w:eastAsia="zh-CN" w:bidi="ar-SA"/>
          <w14:textFill>
            <w14:solidFill>
              <w14:schemeClr w14:val="tx1"/>
            </w14:solidFill>
          </w14:textFill>
        </w:rPr>
        <w:t>猪场采用机械清粪和水冲粪工艺的，应在栏舍外设置舍外收集池。</w:t>
      </w: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猪场采用水</w:t>
      </w:r>
      <w:r>
        <w:rPr>
          <w:rFonts w:hint="eastAsia" w:ascii="仿宋_GB2312" w:eastAsia="仿宋_GB2312" w:cstheme="minorBidi"/>
          <w:color w:val="000000" w:themeColor="text1"/>
          <w:kern w:val="2"/>
          <w:sz w:val="32"/>
          <w:szCs w:val="32"/>
          <w:lang w:val="en-US" w:eastAsia="zh-CN" w:bidi="ar-SA"/>
          <w14:textFill>
            <w14:solidFill>
              <w14:schemeClr w14:val="tx1"/>
            </w14:solidFill>
          </w14:textFill>
        </w:rPr>
        <w:t>泡</w:t>
      </w: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粪或者尿泡粪</w:t>
      </w:r>
      <w:r>
        <w:rPr>
          <w:rFonts w:hint="eastAsia" w:ascii="仿宋_GB2312" w:eastAsia="仿宋_GB2312" w:cstheme="minorBidi"/>
          <w:color w:val="000000" w:themeColor="text1"/>
          <w:kern w:val="2"/>
          <w:sz w:val="32"/>
          <w:szCs w:val="32"/>
          <w:lang w:val="en-US" w:eastAsia="zh-CN" w:bidi="ar-SA"/>
          <w14:textFill>
            <w14:solidFill>
              <w14:schemeClr w14:val="tx1"/>
            </w14:solidFill>
          </w14:textFill>
        </w:rPr>
        <w:t>清粪工艺的</w:t>
      </w: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w:t>
      </w:r>
      <w:r>
        <w:rPr>
          <w:rFonts w:hint="eastAsia" w:ascii="仿宋_GB2312" w:eastAsia="仿宋_GB2312" w:cstheme="minorBidi"/>
          <w:color w:val="000000" w:themeColor="text1"/>
          <w:kern w:val="2"/>
          <w:sz w:val="32"/>
          <w:szCs w:val="32"/>
          <w:lang w:val="en-US" w:eastAsia="zh-CN" w:bidi="ar-SA"/>
          <w14:textFill>
            <w14:solidFill>
              <w14:schemeClr w14:val="tx1"/>
            </w14:solidFill>
          </w14:textFill>
        </w:rPr>
        <w:t>应在漏缝地板下面</w:t>
      </w: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设置舍内收集池，其容积和深度要求见表1。</w:t>
      </w:r>
    </w:p>
    <w:p w14:paraId="747D2707">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表1  舍内收集池容积表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10"/>
        <w:gridCol w:w="2852"/>
        <w:gridCol w:w="2860"/>
      </w:tblGrid>
      <w:tr w14:paraId="1C873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noWrap w:val="0"/>
            <w:vAlign w:val="top"/>
          </w:tcPr>
          <w:p w14:paraId="20B21716">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栏舍类型</w:t>
            </w:r>
          </w:p>
        </w:tc>
        <w:tc>
          <w:tcPr>
            <w:tcW w:w="3190" w:type="dxa"/>
            <w:noWrap w:val="0"/>
            <w:vAlign w:val="top"/>
          </w:tcPr>
          <w:p w14:paraId="6A72F327">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容积（m</w:t>
            </w:r>
            <w:r>
              <w:rPr>
                <w:rFonts w:hint="eastAsia" w:ascii="仿宋_GB2312" w:hAnsi="Times New Roman" w:eastAsia="仿宋_GB2312" w:cstheme="minorBidi"/>
                <w:color w:val="000000" w:themeColor="text1"/>
                <w:kern w:val="2"/>
                <w:sz w:val="24"/>
                <w:szCs w:val="24"/>
                <w:vertAlign w:val="superscript"/>
                <w:lang w:val="en-US" w:eastAsia="zh-CN" w:bidi="ar-SA"/>
                <w14:textFill>
                  <w14:solidFill>
                    <w14:schemeClr w14:val="tx1"/>
                  </w14:solidFill>
                </w14:textFill>
              </w:rPr>
              <w:t>3</w:t>
            </w: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/头）</w:t>
            </w:r>
          </w:p>
        </w:tc>
        <w:tc>
          <w:tcPr>
            <w:tcW w:w="3190" w:type="dxa"/>
            <w:noWrap w:val="0"/>
            <w:vAlign w:val="top"/>
          </w:tcPr>
          <w:p w14:paraId="01C9295D">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深度（m）</w:t>
            </w:r>
          </w:p>
        </w:tc>
      </w:tr>
      <w:tr w14:paraId="3800D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noWrap w:val="0"/>
            <w:vAlign w:val="top"/>
          </w:tcPr>
          <w:p w14:paraId="24DEEEE7">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母猪舍</w:t>
            </w:r>
          </w:p>
        </w:tc>
        <w:tc>
          <w:tcPr>
            <w:tcW w:w="3190" w:type="dxa"/>
            <w:noWrap w:val="0"/>
            <w:vAlign w:val="top"/>
          </w:tcPr>
          <w:p w14:paraId="3725F6F3">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≧0.5</w:t>
            </w:r>
          </w:p>
        </w:tc>
        <w:tc>
          <w:tcPr>
            <w:tcW w:w="3190" w:type="dxa"/>
            <w:noWrap w:val="0"/>
            <w:vAlign w:val="top"/>
          </w:tcPr>
          <w:p w14:paraId="76383431">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≧0.8</w:t>
            </w:r>
          </w:p>
        </w:tc>
      </w:tr>
      <w:tr w14:paraId="15A3B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noWrap w:val="0"/>
            <w:vAlign w:val="top"/>
          </w:tcPr>
          <w:p w14:paraId="14BF24E1">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育肥猪舍</w:t>
            </w:r>
          </w:p>
        </w:tc>
        <w:tc>
          <w:tcPr>
            <w:tcW w:w="3190" w:type="dxa"/>
            <w:noWrap w:val="0"/>
            <w:vAlign w:val="top"/>
          </w:tcPr>
          <w:p w14:paraId="6EFE62DE">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≧0.3</w:t>
            </w:r>
          </w:p>
        </w:tc>
        <w:tc>
          <w:tcPr>
            <w:tcW w:w="3190" w:type="dxa"/>
            <w:noWrap w:val="0"/>
            <w:vAlign w:val="top"/>
          </w:tcPr>
          <w:p w14:paraId="510D95AF">
            <w:pPr>
              <w:pStyle w:val="11"/>
              <w:keepNext w:val="0"/>
              <w:keepLines w:val="0"/>
              <w:pageBreakBefore w:val="0"/>
              <w:kinsoku/>
              <w:wordWrap/>
              <w:overflowPunct/>
              <w:topLinePunct w:val="0"/>
              <w:bidi w:val="0"/>
              <w:adjustRightInd/>
              <w:spacing w:line="240" w:lineRule="auto"/>
              <w:ind w:firstLine="0" w:firstLineChars="0"/>
              <w:jc w:val="center"/>
              <w:textAlignment w:val="auto"/>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24"/>
                <w:szCs w:val="24"/>
                <w:lang w:val="en-US" w:eastAsia="zh-CN" w:bidi="ar-SA"/>
                <w14:textFill>
                  <w14:solidFill>
                    <w14:schemeClr w14:val="tx1"/>
                  </w14:solidFill>
                </w14:textFill>
              </w:rPr>
              <w:t>≧0.8</w:t>
            </w:r>
          </w:p>
        </w:tc>
      </w:tr>
    </w:tbl>
    <w:p w14:paraId="2641E7F6">
      <w:pPr>
        <w:keepNext w:val="0"/>
        <w:keepLines w:val="0"/>
        <w:pageBreakBefore w:val="0"/>
        <w:widowControl w:val="0"/>
        <w:kinsoku/>
        <w:wordWrap/>
        <w:overflowPunct/>
        <w:topLinePunct w:val="0"/>
        <w:autoSpaceDE/>
        <w:autoSpaceDN/>
        <w:bidi w:val="0"/>
        <w:adjustRightInd/>
        <w:snapToGrid/>
        <w:spacing w:line="240" w:lineRule="auto"/>
        <w:ind w:firstLine="221" w:firstLineChars="200"/>
        <w:textAlignment w:val="auto"/>
        <w:rPr>
          <w:rFonts w:hint="eastAsia" w:ascii="仿宋_GB2312" w:hAnsi="Times New Roman" w:eastAsia="仿宋_GB2312"/>
          <w:b/>
          <w:bCs/>
          <w:color w:val="000000" w:themeColor="text1"/>
          <w:sz w:val="11"/>
          <w:szCs w:val="11"/>
          <w:lang w:val="en-US" w:eastAsia="zh-CN"/>
          <w14:textFill>
            <w14:solidFill>
              <w14:schemeClr w14:val="tx1"/>
            </w14:solidFill>
          </w14:textFill>
        </w:rPr>
      </w:pPr>
    </w:p>
    <w:p w14:paraId="3E7AA11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仿宋_GB2312" w:hAnsi="Times New Roman" w:eastAsia="仿宋_GB2312"/>
          <w:b/>
          <w:bCs/>
          <w:color w:val="000000" w:themeColor="text1"/>
          <w:sz w:val="28"/>
          <w:szCs w:val="28"/>
          <w:lang w:val="en-US" w:eastAsia="zh-CN"/>
          <w14:textFill>
            <w14:solidFill>
              <w14:schemeClr w14:val="tx1"/>
            </w14:solidFill>
          </w14:textFill>
        </w:rPr>
      </w:pPr>
      <w:r>
        <w:rPr>
          <w:rFonts w:hint="eastAsia" w:ascii="仿宋_GB2312" w:hAnsi="Times New Roman" w:eastAsia="仿宋_GB2312"/>
          <w:b/>
          <w:bCs/>
          <w:color w:val="000000" w:themeColor="text1"/>
          <w:sz w:val="28"/>
          <w:szCs w:val="28"/>
          <w:lang w:val="en-US" w:eastAsia="zh-CN"/>
          <w14:textFill>
            <w14:solidFill>
              <w14:schemeClr w14:val="tx1"/>
            </w14:solidFill>
          </w14:textFill>
        </w:rPr>
        <w:drawing>
          <wp:inline distT="0" distB="0" distL="114300" distR="114300">
            <wp:extent cx="4729480" cy="3549650"/>
            <wp:effectExtent l="0" t="0" r="10160" b="1270"/>
            <wp:docPr id="5" name="图片 5" descr="IMG_20200325_10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200325_100117"/>
                    <pic:cNvPicPr>
                      <a:picLocks noChangeAspect="1"/>
                    </pic:cNvPicPr>
                  </pic:nvPicPr>
                  <pic:blipFill>
                    <a:blip r:embed="rId5"/>
                    <a:stretch>
                      <a:fillRect/>
                    </a:stretch>
                  </pic:blipFill>
                  <pic:spPr>
                    <a:xfrm>
                      <a:off x="0" y="0"/>
                      <a:ext cx="4729480" cy="3549650"/>
                    </a:xfrm>
                    <a:prstGeom prst="rect">
                      <a:avLst/>
                    </a:prstGeom>
                  </pic:spPr>
                </pic:pic>
              </a:graphicData>
            </a:graphic>
          </wp:inline>
        </w:drawing>
      </w:r>
    </w:p>
    <w:p w14:paraId="7DCEE19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图1 漏缝地板</w:t>
      </w:r>
    </w:p>
    <w:p w14:paraId="2E63CE8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仿宋_GB2312" w:hAnsi="Times New Roman" w:eastAsia="仿宋_GB2312"/>
          <w:b/>
          <w:bCs/>
          <w:color w:val="000000" w:themeColor="text1"/>
          <w:sz w:val="28"/>
          <w:szCs w:val="28"/>
          <w:lang w:val="en-US" w:eastAsia="zh-CN"/>
          <w14:textFill>
            <w14:solidFill>
              <w14:schemeClr w14:val="tx1"/>
            </w14:solidFill>
          </w14:textFill>
        </w:rPr>
      </w:pPr>
      <w:r>
        <w:rPr>
          <w:rFonts w:hint="eastAsia" w:ascii="仿宋_GB2312" w:hAnsi="Times New Roman" w:eastAsia="仿宋_GB2312"/>
          <w:b/>
          <w:bCs/>
          <w:color w:val="000000" w:themeColor="text1"/>
          <w:sz w:val="28"/>
          <w:szCs w:val="28"/>
          <w:lang w:val="en-US" w:eastAsia="zh-CN"/>
          <w14:textFill>
            <w14:solidFill>
              <w14:schemeClr w14:val="tx1"/>
            </w14:solidFill>
          </w14:textFill>
        </w:rPr>
        <w:drawing>
          <wp:inline distT="0" distB="0" distL="114300" distR="114300">
            <wp:extent cx="4723130" cy="3543935"/>
            <wp:effectExtent l="0" t="0" r="1270" b="6985"/>
            <wp:docPr id="6" name="图片 6" descr="IMG_20200424_150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0200424_150350"/>
                    <pic:cNvPicPr>
                      <a:picLocks noChangeAspect="1"/>
                    </pic:cNvPicPr>
                  </pic:nvPicPr>
                  <pic:blipFill>
                    <a:blip r:embed="rId6"/>
                    <a:stretch>
                      <a:fillRect/>
                    </a:stretch>
                  </pic:blipFill>
                  <pic:spPr>
                    <a:xfrm>
                      <a:off x="0" y="0"/>
                      <a:ext cx="4723130" cy="3543935"/>
                    </a:xfrm>
                    <a:prstGeom prst="rect">
                      <a:avLst/>
                    </a:prstGeom>
                  </pic:spPr>
                </pic:pic>
              </a:graphicData>
            </a:graphic>
          </wp:inline>
        </w:drawing>
      </w:r>
    </w:p>
    <w:p w14:paraId="6EF3FB7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图2 舍内收集池</w:t>
      </w:r>
    </w:p>
    <w:p w14:paraId="6204CAC6">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b/>
          <w:bCs/>
          <w:color w:val="000000" w:themeColor="text1"/>
          <w:sz w:val="32"/>
          <w:szCs w:val="32"/>
          <w:lang w:val="en-US" w:eastAsia="zh-CN"/>
          <w14:textFill>
            <w14:solidFill>
              <w14:schemeClr w14:val="tx1"/>
            </w14:solidFill>
          </w14:textFill>
        </w:rPr>
        <w:t>2.</w:t>
      </w:r>
      <w:r>
        <w:rPr>
          <w:rFonts w:hint="eastAsia" w:ascii="仿宋_GB2312" w:hAnsi="Times New Roman" w:eastAsia="仿宋_GB2312"/>
          <w:b/>
          <w:bCs/>
          <w:color w:val="000000" w:themeColor="text1"/>
          <w:sz w:val="32"/>
          <w:szCs w:val="32"/>
          <w:lang w:eastAsia="zh-CN"/>
          <w14:textFill>
            <w14:solidFill>
              <w14:schemeClr w14:val="tx1"/>
            </w14:solidFill>
          </w14:textFill>
        </w:rPr>
        <w:t>收集管道。</w:t>
      </w:r>
      <w:r>
        <w:rPr>
          <w:rFonts w:hint="eastAsia" w:ascii="仿宋_GB2312" w:hAnsi="Times New Roman" w:eastAsia="仿宋_GB2312"/>
          <w:color w:val="000000" w:themeColor="text1"/>
          <w:sz w:val="32"/>
          <w:szCs w:val="32"/>
          <w:lang w:eastAsia="zh-CN"/>
          <w14:textFill>
            <w14:solidFill>
              <w14:schemeClr w14:val="tx1"/>
            </w14:solidFill>
          </w14:textFill>
        </w:rPr>
        <w:t>猪场要铺设粪污从舍内收集池或者舍外收集池到氧化塘的通道，一般采用暗沟或</w:t>
      </w:r>
      <w:r>
        <w:rPr>
          <w:rFonts w:hint="eastAsia" w:ascii="仿宋_GB2312" w:hAnsi="Times New Roman" w:eastAsia="仿宋_GB2312"/>
          <w:color w:val="000000" w:themeColor="text1"/>
          <w:sz w:val="32"/>
          <w:szCs w:val="32"/>
          <w:lang w:val="en-US" w:eastAsia="zh-CN"/>
          <w14:textFill>
            <w14:solidFill>
              <w14:schemeClr w14:val="tx1"/>
            </w14:solidFill>
          </w14:textFill>
        </w:rPr>
        <w:t>PVC管，</w:t>
      </w:r>
      <w:r>
        <w:rPr>
          <w:rFonts w:hint="eastAsia" w:ascii="仿宋_GB2312" w:hAnsi="Times New Roman" w:eastAsia="仿宋_GB2312"/>
          <w:color w:val="000000" w:themeColor="text1"/>
          <w:sz w:val="32"/>
          <w:szCs w:val="32"/>
          <w:lang w:eastAsia="zh-CN"/>
          <w14:textFill>
            <w14:solidFill>
              <w14:schemeClr w14:val="tx1"/>
            </w14:solidFill>
          </w14:textFill>
        </w:rPr>
        <w:t>利用地势差铺设，每隔30 m～50 m设置沉淀井或观察井。</w:t>
      </w:r>
    </w:p>
    <w:p w14:paraId="1352F65B">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b/>
          <w:bCs/>
          <w:color w:val="000000" w:themeColor="text1"/>
          <w:sz w:val="32"/>
          <w:szCs w:val="32"/>
          <w:lang w:val="en-US" w:eastAsia="zh-CN"/>
          <w14:textFill>
            <w14:solidFill>
              <w14:schemeClr w14:val="tx1"/>
            </w14:solidFill>
          </w14:textFill>
        </w:rPr>
        <w:t>3.</w:t>
      </w:r>
      <w:r>
        <w:rPr>
          <w:rFonts w:hint="eastAsia" w:ascii="仿宋_GB2312" w:hAnsi="Times New Roman" w:eastAsia="仿宋_GB2312"/>
          <w:b/>
          <w:bCs/>
          <w:color w:val="000000" w:themeColor="text1"/>
          <w:sz w:val="32"/>
          <w:szCs w:val="32"/>
          <w:lang w:eastAsia="zh-CN"/>
          <w14:textFill>
            <w14:solidFill>
              <w14:schemeClr w14:val="tx1"/>
            </w14:solidFill>
          </w14:textFill>
        </w:rPr>
        <w:t>氧化塘（贮存池）。</w:t>
      </w:r>
      <w:bookmarkStart w:id="0" w:name="_Toc26191666"/>
      <w:bookmarkStart w:id="1" w:name="_Toc26191428"/>
      <w:bookmarkStart w:id="2" w:name="_Toc26191755"/>
      <w:bookmarkStart w:id="3" w:name="_Toc26191451"/>
      <w:r>
        <w:rPr>
          <w:rFonts w:hint="eastAsia" w:ascii="仿宋_GB2312" w:hAnsi="Times New Roman" w:eastAsia="仿宋_GB2312"/>
          <w:color w:val="000000" w:themeColor="text1"/>
          <w:sz w:val="32"/>
          <w:szCs w:val="32"/>
          <w:lang w:eastAsia="zh-CN"/>
          <w14:textFill>
            <w14:solidFill>
              <w14:schemeClr w14:val="tx1"/>
            </w14:solidFill>
          </w14:textFill>
        </w:rPr>
        <w:t>猪场应建设2个上氧化塘，串联使用或者轮换使用，氧化塘要防渗漏并设置围栏和警示标志。有条件的可在氧化塘的前端增加厌氧发酵池，液体贮存总容积应满足存储180</w:t>
      </w:r>
      <w:r>
        <w:rPr>
          <w:rFonts w:hint="eastAsia" w:ascii="仿宋_GB2312" w:hAnsi="Times New Roman" w:eastAsia="仿宋_GB2312"/>
          <w:color w:val="000000" w:themeColor="text1"/>
          <w:sz w:val="32"/>
          <w:szCs w:val="32"/>
          <w:lang w:val="en-US" w:eastAsia="zh-CN"/>
          <w14:textFill>
            <w14:solidFill>
              <w14:schemeClr w14:val="tx1"/>
            </w14:solidFill>
          </w14:textFill>
        </w:rPr>
        <w:t xml:space="preserve"> </w:t>
      </w:r>
      <w:r>
        <w:rPr>
          <w:rFonts w:hint="eastAsia" w:ascii="仿宋_GB2312" w:hAnsi="Times New Roman" w:eastAsia="仿宋_GB2312"/>
          <w:color w:val="000000" w:themeColor="text1"/>
          <w:sz w:val="32"/>
          <w:szCs w:val="32"/>
          <w:lang w:eastAsia="zh-CN"/>
          <w14:textFill>
            <w14:solidFill>
              <w14:schemeClr w14:val="tx1"/>
            </w14:solidFill>
          </w14:textFill>
        </w:rPr>
        <w:t>d粪污的需要。</w:t>
      </w:r>
    </w:p>
    <w:p w14:paraId="3987D30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eastAsiaTheme="minorEastAsia"/>
          <w:lang w:eastAsia="zh-CN"/>
        </w:rPr>
      </w:pPr>
      <w:r>
        <w:rPr>
          <w:rFonts w:hint="eastAsia" w:eastAsiaTheme="minorEastAsia"/>
          <w:lang w:eastAsia="zh-CN"/>
        </w:rPr>
        <w:drawing>
          <wp:inline distT="0" distB="0" distL="114300" distR="114300">
            <wp:extent cx="5255895" cy="3943350"/>
            <wp:effectExtent l="0" t="0" r="1905" b="0"/>
            <wp:docPr id="3" name="图片 3" descr="IMG_20200421_17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00421_173104"/>
                    <pic:cNvPicPr>
                      <a:picLocks noChangeAspect="1"/>
                    </pic:cNvPicPr>
                  </pic:nvPicPr>
                  <pic:blipFill>
                    <a:blip r:embed="rId7"/>
                    <a:stretch>
                      <a:fillRect/>
                    </a:stretch>
                  </pic:blipFill>
                  <pic:spPr>
                    <a:xfrm>
                      <a:off x="0" y="0"/>
                      <a:ext cx="5255895" cy="3943350"/>
                    </a:xfrm>
                    <a:prstGeom prst="rect">
                      <a:avLst/>
                    </a:prstGeom>
                  </pic:spPr>
                </pic:pic>
              </a:graphicData>
            </a:graphic>
          </wp:inline>
        </w:drawing>
      </w:r>
    </w:p>
    <w:p w14:paraId="42BD2FFD">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宋体" w:hAnsi="宋体" w:eastAsia="宋体" w:cs="宋体"/>
          <w:sz w:val="24"/>
          <w:szCs w:val="24"/>
          <w:lang w:eastAsia="zh-CN"/>
        </w:rPr>
      </w:pPr>
      <w:r>
        <w:rPr>
          <w:rFonts w:hint="eastAsia" w:ascii="宋体" w:hAnsi="宋体" w:eastAsia="宋体" w:cs="宋体"/>
          <w:color w:val="000000" w:themeColor="text1"/>
          <w:kern w:val="2"/>
          <w:sz w:val="24"/>
          <w:szCs w:val="24"/>
          <w:lang w:val="en-US" w:eastAsia="zh-CN" w:bidi="ar-SA"/>
          <w14:textFill>
            <w14:solidFill>
              <w14:schemeClr w14:val="tx1"/>
            </w14:solidFill>
          </w14:textFill>
        </w:rPr>
        <w:t>图3 敞口式氧化塘</w:t>
      </w:r>
    </w:p>
    <w:bookmarkEnd w:id="0"/>
    <w:bookmarkEnd w:id="1"/>
    <w:bookmarkEnd w:id="2"/>
    <w:bookmarkEnd w:id="3"/>
    <w:p w14:paraId="49B9CAC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b/>
          <w:bCs/>
          <w:color w:val="000000" w:themeColor="text1"/>
          <w:sz w:val="32"/>
          <w:szCs w:val="32"/>
          <w:lang w:val="en-US" w:eastAsia="zh-CN"/>
          <w14:textFill>
            <w14:solidFill>
              <w14:schemeClr w14:val="tx1"/>
            </w14:solidFill>
          </w14:textFill>
        </w:rPr>
        <w:t>4.输送管道和运输车辆。</w:t>
      </w:r>
      <w:r>
        <w:rPr>
          <w:rFonts w:hint="eastAsia" w:ascii="仿宋_GB2312" w:hAnsi="Times New Roman" w:eastAsia="仿宋_GB2312"/>
          <w:color w:val="000000" w:themeColor="text1"/>
          <w:sz w:val="32"/>
          <w:szCs w:val="32"/>
          <w:lang w:val="en-US" w:eastAsia="zh-CN"/>
          <w14:textFill>
            <w14:solidFill>
              <w14:schemeClr w14:val="tx1"/>
            </w14:solidFill>
          </w14:textFill>
        </w:rPr>
        <w:t>农田离猪场较近的，宜采用管道输送，应按流量、扬程、输送距离建设输送管道，输送距离超过1000m需增加带切割装置的水泵等加压设施，在水泵前端位置加设一道间隙为10～15mm的格栅。农田离猪场较远的，宜采用车辆运输，根据农田面积、路况条件选择适合的运输车辆，一般以5～20m</w:t>
      </w:r>
      <w:r>
        <w:rPr>
          <w:rFonts w:hint="eastAsia" w:ascii="仿宋_GB2312" w:hAnsi="Times New Roman" w:eastAsia="仿宋_GB2312"/>
          <w:color w:val="000000" w:themeColor="text1"/>
          <w:sz w:val="32"/>
          <w:szCs w:val="32"/>
          <w:vertAlign w:val="superscript"/>
          <w:lang w:val="en-US" w:eastAsia="zh-CN"/>
          <w14:textFill>
            <w14:solidFill>
              <w14:schemeClr w14:val="tx1"/>
            </w14:solidFill>
          </w14:textFill>
        </w:rPr>
        <w:t>3</w:t>
      </w:r>
      <w:r>
        <w:rPr>
          <w:rFonts w:hint="eastAsia" w:ascii="仿宋_GB2312" w:hAnsi="Times New Roman" w:eastAsia="仿宋_GB2312"/>
          <w:color w:val="000000" w:themeColor="text1"/>
          <w:sz w:val="32"/>
          <w:szCs w:val="32"/>
          <w:lang w:val="en-US" w:eastAsia="zh-CN"/>
          <w14:textFill>
            <w14:solidFill>
              <w14:schemeClr w14:val="tx1"/>
            </w14:solidFill>
          </w14:textFill>
        </w:rPr>
        <w:t>为宜，应采用密封性好的罐体运输车辆，避免运输过程中气味散发和液体外溢。</w:t>
      </w:r>
    </w:p>
    <w:p w14:paraId="2321759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b/>
          <w:bCs/>
          <w:color w:val="000000" w:themeColor="text1"/>
          <w:sz w:val="32"/>
          <w:szCs w:val="32"/>
          <w:lang w:val="en-US" w:eastAsia="zh-CN"/>
          <w14:textFill>
            <w14:solidFill>
              <w14:schemeClr w14:val="tx1"/>
            </w14:solidFill>
          </w14:textFill>
        </w:rPr>
        <w:t>5.田间贮存池。</w:t>
      </w:r>
      <w:r>
        <w:rPr>
          <w:rFonts w:hint="eastAsia" w:ascii="仿宋_GB2312" w:hAnsi="Times New Roman" w:eastAsia="仿宋_GB2312"/>
          <w:b w:val="0"/>
          <w:bCs w:val="0"/>
          <w:color w:val="000000" w:themeColor="text1"/>
          <w:sz w:val="32"/>
          <w:szCs w:val="32"/>
          <w:lang w:val="en-US" w:eastAsia="zh-CN"/>
          <w14:textFill>
            <w14:solidFill>
              <w14:schemeClr w14:val="tx1"/>
            </w14:solidFill>
          </w14:textFill>
        </w:rPr>
        <w:t>配套农田处应建设</w:t>
      </w:r>
      <w:r>
        <w:rPr>
          <w:rFonts w:hint="eastAsia" w:ascii="仿宋_GB2312" w:hAnsi="Times New Roman" w:eastAsia="仿宋_GB2312"/>
          <w:color w:val="000000" w:themeColor="text1"/>
          <w:sz w:val="32"/>
          <w:szCs w:val="32"/>
          <w:lang w:val="en-US" w:eastAsia="zh-CN"/>
          <w14:textFill>
            <w14:solidFill>
              <w14:schemeClr w14:val="tx1"/>
            </w14:solidFill>
          </w14:textFill>
        </w:rPr>
        <w:t>田间贮存池，其数量、位置和总容积应根据农田分布、面积、作物种类等情况确定；田间贮存池应防渗漏，配置阀门、泵、流量计和管道等设备，设置围栏和安全警示标志，不得设于河流、湖泊和水库旁。</w:t>
      </w:r>
    </w:p>
    <w:p w14:paraId="59AF425F">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Times New Roman" w:eastAsia="仿宋_GB2312"/>
          <w:color w:val="000000" w:themeColor="text1"/>
          <w:sz w:val="28"/>
          <w:szCs w:val="28"/>
          <w:lang w:val="en-US" w:eastAsia="zh-CN"/>
          <w14:textFill>
            <w14:solidFill>
              <w14:schemeClr w14:val="tx1"/>
            </w14:solidFill>
          </w14:textFill>
        </w:rPr>
      </w:pPr>
      <w:r>
        <w:rPr>
          <w:rFonts w:hint="eastAsia" w:ascii="仿宋_GB2312" w:hAnsi="Times New Roman" w:eastAsia="仿宋_GB2312"/>
          <w:color w:val="000000" w:themeColor="text1"/>
          <w:sz w:val="28"/>
          <w:szCs w:val="28"/>
          <w:lang w:val="en-US" w:eastAsia="zh-CN"/>
          <w14:textFill>
            <w14:solidFill>
              <w14:schemeClr w14:val="tx1"/>
            </w14:solidFill>
          </w14:textFill>
        </w:rPr>
        <w:drawing>
          <wp:inline distT="0" distB="0" distL="114300" distR="114300">
            <wp:extent cx="5255895" cy="3504565"/>
            <wp:effectExtent l="0" t="0" r="1905" b="635"/>
            <wp:docPr id="8" name="图片 8" descr="山顶沼液池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山顶沼液池1"/>
                    <pic:cNvPicPr>
                      <a:picLocks noChangeAspect="1"/>
                    </pic:cNvPicPr>
                  </pic:nvPicPr>
                  <pic:blipFill>
                    <a:blip r:embed="rId8"/>
                    <a:stretch>
                      <a:fillRect/>
                    </a:stretch>
                  </pic:blipFill>
                  <pic:spPr>
                    <a:xfrm>
                      <a:off x="0" y="0"/>
                      <a:ext cx="5255895" cy="3504565"/>
                    </a:xfrm>
                    <a:prstGeom prst="rect">
                      <a:avLst/>
                    </a:prstGeom>
                  </pic:spPr>
                </pic:pic>
              </a:graphicData>
            </a:graphic>
          </wp:inline>
        </w:drawing>
      </w:r>
    </w:p>
    <w:p w14:paraId="4171A54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图4 田间贮存池</w:t>
      </w:r>
    </w:p>
    <w:p w14:paraId="7E89FCEE">
      <w:pPr>
        <w:keepNext w:val="0"/>
        <w:keepLines w:val="0"/>
        <w:pageBreakBefore w:val="0"/>
        <w:kinsoku/>
        <w:wordWrap/>
        <w:overflowPunct/>
        <w:topLinePunct w:val="0"/>
        <w:bidi w:val="0"/>
        <w:adjustRightInd/>
        <w:snapToGrid/>
        <w:spacing w:line="560" w:lineRule="exact"/>
        <w:ind w:firstLine="643" w:firstLineChars="200"/>
        <w:textAlignment w:val="auto"/>
        <w:rPr>
          <w:rFonts w:hint="eastAsia" w:ascii="楷体_GB2312" w:hAnsi="楷体" w:eastAsia="楷体_GB2312"/>
          <w:b/>
          <w:bCs/>
          <w:color w:val="000000" w:themeColor="text1"/>
          <w:sz w:val="32"/>
          <w:szCs w:val="32"/>
          <w:lang w:eastAsia="zh-CN"/>
          <w14:textFill>
            <w14:solidFill>
              <w14:schemeClr w14:val="tx1"/>
            </w14:solidFill>
          </w14:textFill>
        </w:rPr>
      </w:pPr>
      <w:r>
        <w:rPr>
          <w:rFonts w:hint="eastAsia" w:ascii="楷体_GB2312" w:hAnsi="楷体" w:eastAsia="楷体_GB2312"/>
          <w:b/>
          <w:bCs/>
          <w:color w:val="000000" w:themeColor="text1"/>
          <w:sz w:val="32"/>
          <w:szCs w:val="32"/>
          <w14:textFill>
            <w14:solidFill>
              <w14:schemeClr w14:val="tx1"/>
            </w14:solidFill>
          </w14:textFill>
        </w:rPr>
        <w:t>（二）</w:t>
      </w:r>
      <w:r>
        <w:rPr>
          <w:rFonts w:hint="eastAsia" w:ascii="楷体_GB2312" w:hAnsi="楷体" w:eastAsia="楷体_GB2312"/>
          <w:b/>
          <w:bCs/>
          <w:color w:val="000000" w:themeColor="text1"/>
          <w:sz w:val="32"/>
          <w:szCs w:val="32"/>
          <w:lang w:eastAsia="zh-CN"/>
          <w14:textFill>
            <w14:solidFill>
              <w14:schemeClr w14:val="tx1"/>
            </w14:solidFill>
          </w14:textFill>
        </w:rPr>
        <w:t>收集与储运</w:t>
      </w:r>
    </w:p>
    <w:p w14:paraId="6341689A">
      <w:pPr>
        <w:pStyle w:val="2"/>
        <w:keepNext w:val="0"/>
        <w:keepLines w:val="0"/>
        <w:pageBreakBefore w:val="0"/>
        <w:kinsoku/>
        <w:wordWrap/>
        <w:overflowPunct/>
        <w:topLinePunct w:val="0"/>
        <w:bidi w:val="0"/>
        <w:adjustRightInd/>
        <w:snapToGrid/>
        <w:spacing w:after="0" w:line="560" w:lineRule="exact"/>
        <w:ind w:firstLine="640" w:firstLineChars="200"/>
        <w:textAlignment w:val="auto"/>
        <w:rPr>
          <w:rFonts w:hint="eastAsia"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lang w:val="en-US" w:eastAsia="zh-CN"/>
          <w14:textFill>
            <w14:solidFill>
              <w14:schemeClr w14:val="tx1"/>
            </w14:solidFill>
          </w14:textFill>
        </w:rPr>
        <w:t>1.猪场采取水泡粪、尿泡粪、机械清粪和水冲粪等方式对粪污（粪便、尿液和污水）进行全量收集。</w:t>
      </w:r>
    </w:p>
    <w:p w14:paraId="393E21D1">
      <w:pPr>
        <w:pStyle w:val="2"/>
        <w:keepNext w:val="0"/>
        <w:keepLines w:val="0"/>
        <w:pageBreakBefore w:val="0"/>
        <w:widowControl w:val="0"/>
        <w:kinsoku/>
        <w:wordWrap/>
        <w:overflowPunct/>
        <w:topLinePunct w:val="0"/>
        <w:autoSpaceDE/>
        <w:autoSpaceDN/>
        <w:bidi w:val="0"/>
        <w:adjustRightInd/>
        <w:snapToGrid/>
        <w:spacing w:after="0" w:line="560" w:lineRule="exact"/>
        <w:ind w:firstLine="640" w:firstLineChars="200"/>
        <w:textAlignment w:val="auto"/>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pPr>
      <w:r>
        <w:rPr>
          <w:rFonts w:hint="eastAsia" w:ascii="仿宋_GB2312" w:hAnsi="Times New Roman" w:eastAsia="仿宋_GB2312"/>
          <w:color w:val="000000" w:themeColor="text1"/>
          <w:sz w:val="32"/>
          <w:szCs w:val="32"/>
          <w:lang w:val="en-US" w:eastAsia="zh-CN"/>
          <w14:textFill>
            <w14:solidFill>
              <w14:schemeClr w14:val="tx1"/>
            </w14:solidFill>
          </w14:textFill>
        </w:rPr>
        <w:t>2.</w:t>
      </w: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采用水泡粪或者尿泡粪的，舍内收集池预储存 8 cm～10 cm 深的水，粪污通过漏缝地板落入舍内收集池，在池内停留2～3个月后经过收集管道进入厌氧发酵池或氧化塘；采用机械清粪或者水冲粪的，粪污被清到舍外收集池，再通过收集管道入到厌氧发酵池或氧化塘。</w:t>
      </w:r>
    </w:p>
    <w:p w14:paraId="566BF0DE">
      <w:pPr>
        <w:pStyle w:val="2"/>
        <w:keepNext w:val="0"/>
        <w:keepLines w:val="0"/>
        <w:pageBreakBefore w:val="0"/>
        <w:widowControl w:val="0"/>
        <w:kinsoku/>
        <w:wordWrap/>
        <w:overflowPunct/>
        <w:topLinePunct w:val="0"/>
        <w:autoSpaceDE/>
        <w:autoSpaceDN/>
        <w:bidi w:val="0"/>
        <w:adjustRightInd/>
        <w:snapToGrid/>
        <w:spacing w:after="0" w:line="560" w:lineRule="exact"/>
        <w:ind w:firstLine="640" w:firstLineChars="200"/>
        <w:textAlignment w:val="auto"/>
        <w:rPr>
          <w:rFonts w:hint="eastAsia" w:ascii="楷体_GB2312" w:hAnsi="楷体" w:eastAsia="楷体_GB2312"/>
          <w:b/>
          <w:bCs/>
          <w:color w:val="000000" w:themeColor="text1"/>
          <w:sz w:val="32"/>
          <w:szCs w:val="32"/>
          <w:lang w:eastAsia="zh-CN"/>
          <w14:textFill>
            <w14:solidFill>
              <w14:schemeClr w14:val="tx1"/>
            </w14:solidFill>
          </w14:textFill>
        </w:rPr>
      </w:pP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3.</w:t>
      </w:r>
      <w:r>
        <w:rPr>
          <w:rFonts w:hint="eastAsia" w:ascii="仿宋_GB2312" w:hAnsi="Times New Roman" w:eastAsia="仿宋_GB2312"/>
          <w:color w:val="000000" w:themeColor="text1"/>
          <w:sz w:val="32"/>
          <w:szCs w:val="32"/>
          <w:lang w:val="en-US" w:eastAsia="zh-CN"/>
          <w14:textFill>
            <w14:solidFill>
              <w14:schemeClr w14:val="tx1"/>
            </w14:solidFill>
          </w14:textFill>
        </w:rPr>
        <w:t>粪污经</w:t>
      </w: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厌氧发酵池或氧化塘</w:t>
      </w:r>
      <w:r>
        <w:rPr>
          <w:rFonts w:hint="eastAsia" w:ascii="仿宋_GB2312" w:hAnsi="Times New Roman" w:eastAsia="仿宋_GB2312"/>
          <w:color w:val="000000" w:themeColor="text1"/>
          <w:sz w:val="32"/>
          <w:szCs w:val="32"/>
          <w:lang w:val="en-US" w:eastAsia="zh-CN"/>
          <w14:textFill>
            <w14:solidFill>
              <w14:schemeClr w14:val="tx1"/>
            </w14:solidFill>
          </w14:textFill>
        </w:rPr>
        <w:t>无害化处理后通过输送管道或者运输车辆送到田间贮存池。</w:t>
      </w:r>
    </w:p>
    <w:p w14:paraId="49355EC0">
      <w:pPr>
        <w:keepNext w:val="0"/>
        <w:keepLines w:val="0"/>
        <w:pageBreakBefore w:val="0"/>
        <w:kinsoku/>
        <w:wordWrap/>
        <w:overflowPunct/>
        <w:topLinePunct w:val="0"/>
        <w:bidi w:val="0"/>
        <w:adjustRightInd/>
        <w:snapToGrid/>
        <w:spacing w:line="560" w:lineRule="exact"/>
        <w:ind w:firstLine="643" w:firstLineChars="200"/>
        <w:textAlignment w:val="auto"/>
        <w:rPr>
          <w:rFonts w:hint="eastAsia" w:ascii="楷体_GB2312" w:hAnsi="楷体" w:eastAsia="楷体_GB2312"/>
          <w:b/>
          <w:bCs/>
          <w:color w:val="000000" w:themeColor="text1"/>
          <w:sz w:val="32"/>
          <w:szCs w:val="32"/>
          <w:lang w:eastAsia="zh-CN"/>
          <w14:textFill>
            <w14:solidFill>
              <w14:schemeClr w14:val="tx1"/>
            </w14:solidFill>
          </w14:textFill>
        </w:rPr>
      </w:pPr>
      <w:r>
        <w:rPr>
          <w:rFonts w:hint="eastAsia" w:ascii="楷体_GB2312" w:hAnsi="楷体" w:eastAsia="楷体_GB2312"/>
          <w:b/>
          <w:bCs/>
          <w:color w:val="000000" w:themeColor="text1"/>
          <w:sz w:val="32"/>
          <w:szCs w:val="32"/>
          <w14:textFill>
            <w14:solidFill>
              <w14:schemeClr w14:val="tx1"/>
            </w14:solidFill>
          </w14:textFill>
        </w:rPr>
        <w:t>（</w:t>
      </w:r>
      <w:r>
        <w:rPr>
          <w:rFonts w:hint="eastAsia" w:ascii="楷体_GB2312" w:hAnsi="楷体" w:eastAsia="楷体_GB2312"/>
          <w:b/>
          <w:bCs/>
          <w:color w:val="000000" w:themeColor="text1"/>
          <w:sz w:val="32"/>
          <w:szCs w:val="32"/>
          <w:lang w:eastAsia="zh-CN"/>
          <w14:textFill>
            <w14:solidFill>
              <w14:schemeClr w14:val="tx1"/>
            </w14:solidFill>
          </w14:textFill>
        </w:rPr>
        <w:t>三</w:t>
      </w:r>
      <w:r>
        <w:rPr>
          <w:rFonts w:hint="eastAsia" w:ascii="楷体_GB2312" w:hAnsi="楷体" w:eastAsia="楷体_GB2312"/>
          <w:b/>
          <w:bCs/>
          <w:color w:val="000000" w:themeColor="text1"/>
          <w:sz w:val="32"/>
          <w:szCs w:val="32"/>
          <w14:textFill>
            <w14:solidFill>
              <w14:schemeClr w14:val="tx1"/>
            </w14:solidFill>
          </w14:textFill>
        </w:rPr>
        <w:t>）</w:t>
      </w:r>
      <w:r>
        <w:rPr>
          <w:rFonts w:hint="eastAsia" w:ascii="楷体_GB2312" w:hAnsi="楷体" w:eastAsia="楷体_GB2312"/>
          <w:b/>
          <w:bCs/>
          <w:color w:val="000000" w:themeColor="text1"/>
          <w:sz w:val="32"/>
          <w:szCs w:val="32"/>
          <w:lang w:eastAsia="zh-CN"/>
          <w14:textFill>
            <w14:solidFill>
              <w14:schemeClr w14:val="tx1"/>
            </w14:solidFill>
          </w14:textFill>
        </w:rPr>
        <w:t>无害化处理</w:t>
      </w:r>
    </w:p>
    <w:p w14:paraId="75856F7F">
      <w:pPr>
        <w:pStyle w:val="2"/>
        <w:keepNext w:val="0"/>
        <w:keepLines w:val="0"/>
        <w:pageBreakBefore w:val="0"/>
        <w:widowControl w:val="0"/>
        <w:kinsoku/>
        <w:wordWrap/>
        <w:overflowPunct/>
        <w:topLinePunct w:val="0"/>
        <w:autoSpaceDE/>
        <w:autoSpaceDN/>
        <w:bidi w:val="0"/>
        <w:adjustRightInd/>
        <w:snapToGrid/>
        <w:spacing w:after="0" w:line="560" w:lineRule="exact"/>
        <w:ind w:firstLine="640" w:firstLineChars="200"/>
        <w:textAlignment w:val="auto"/>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1.采用“氧化塘贮存发酵”工艺的，粪污直接流入氧化塘，密封式氧化塘的贮存时间不少于90天，敞口式氧化塘的贮存时间不少于180天。</w:t>
      </w:r>
    </w:p>
    <w:p w14:paraId="477DD849">
      <w:pPr>
        <w:pStyle w:val="2"/>
        <w:keepNext w:val="0"/>
        <w:keepLines w:val="0"/>
        <w:pageBreakBefore w:val="0"/>
        <w:widowControl w:val="0"/>
        <w:kinsoku/>
        <w:wordWrap/>
        <w:overflowPunct/>
        <w:topLinePunct w:val="0"/>
        <w:autoSpaceDE/>
        <w:autoSpaceDN/>
        <w:bidi w:val="0"/>
        <w:adjustRightInd/>
        <w:snapToGrid/>
        <w:spacing w:after="0" w:line="560" w:lineRule="exact"/>
        <w:ind w:firstLine="640" w:firstLineChars="200"/>
        <w:textAlignment w:val="auto"/>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pP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2.采用“厌氧发酵池+氧化塘贮存发酵”工艺的，粪污先流入厌氧发酵池，在厌氧发酵池内发酵后自然流入氧化塘进行贮存，贮存时间应不少于60 d。</w:t>
      </w:r>
    </w:p>
    <w:p w14:paraId="1F80D686">
      <w:pPr>
        <w:keepNext w:val="0"/>
        <w:keepLines w:val="0"/>
        <w:pageBreakBefore w:val="0"/>
        <w:kinsoku/>
        <w:wordWrap/>
        <w:overflowPunct/>
        <w:topLinePunct w:val="0"/>
        <w:bidi w:val="0"/>
        <w:adjustRightInd/>
        <w:snapToGrid/>
        <w:spacing w:line="560" w:lineRule="exact"/>
        <w:ind w:firstLine="643" w:firstLineChars="200"/>
        <w:textAlignment w:val="auto"/>
        <w:rPr>
          <w:rFonts w:hint="eastAsia" w:ascii="楷体_GB2312" w:hAnsi="楷体" w:eastAsia="楷体_GB2312"/>
          <w:b/>
          <w:bCs/>
          <w:color w:val="000000" w:themeColor="text1"/>
          <w:sz w:val="32"/>
          <w:szCs w:val="32"/>
          <w:lang w:eastAsia="zh-CN"/>
          <w14:textFill>
            <w14:solidFill>
              <w14:schemeClr w14:val="tx1"/>
            </w14:solidFill>
          </w14:textFill>
        </w:rPr>
      </w:pPr>
      <w:r>
        <w:rPr>
          <w:rFonts w:hint="eastAsia" w:ascii="楷体_GB2312" w:hAnsi="楷体" w:eastAsia="楷体_GB2312"/>
          <w:b/>
          <w:bCs/>
          <w:color w:val="000000" w:themeColor="text1"/>
          <w:sz w:val="32"/>
          <w:szCs w:val="32"/>
          <w14:textFill>
            <w14:solidFill>
              <w14:schemeClr w14:val="tx1"/>
            </w14:solidFill>
          </w14:textFill>
        </w:rPr>
        <w:t>（</w:t>
      </w:r>
      <w:r>
        <w:rPr>
          <w:rFonts w:hint="eastAsia" w:ascii="楷体_GB2312" w:hAnsi="楷体" w:eastAsia="楷体_GB2312"/>
          <w:b/>
          <w:bCs/>
          <w:color w:val="000000" w:themeColor="text1"/>
          <w:sz w:val="32"/>
          <w:szCs w:val="32"/>
          <w:lang w:eastAsia="zh-CN"/>
          <w14:textFill>
            <w14:solidFill>
              <w14:schemeClr w14:val="tx1"/>
            </w14:solidFill>
          </w14:textFill>
        </w:rPr>
        <w:t>四</w:t>
      </w:r>
      <w:r>
        <w:rPr>
          <w:rFonts w:hint="eastAsia" w:ascii="楷体_GB2312" w:hAnsi="楷体" w:eastAsia="楷体_GB2312"/>
          <w:b/>
          <w:bCs/>
          <w:color w:val="000000" w:themeColor="text1"/>
          <w:sz w:val="32"/>
          <w:szCs w:val="32"/>
          <w14:textFill>
            <w14:solidFill>
              <w14:schemeClr w14:val="tx1"/>
            </w14:solidFill>
          </w14:textFill>
        </w:rPr>
        <w:t>）</w:t>
      </w:r>
      <w:r>
        <w:rPr>
          <w:rFonts w:hint="eastAsia" w:ascii="楷体_GB2312" w:hAnsi="楷体" w:eastAsia="楷体_GB2312"/>
          <w:b/>
          <w:bCs/>
          <w:color w:val="000000" w:themeColor="text1"/>
          <w:sz w:val="32"/>
          <w:szCs w:val="32"/>
          <w:lang w:eastAsia="zh-CN"/>
          <w14:textFill>
            <w14:solidFill>
              <w14:schemeClr w14:val="tx1"/>
            </w14:solidFill>
          </w14:textFill>
        </w:rPr>
        <w:t>还田利用</w:t>
      </w:r>
    </w:p>
    <w:p w14:paraId="21CC7BCC">
      <w:pPr>
        <w:pStyle w:val="11"/>
        <w:keepNext w:val="0"/>
        <w:keepLines w:val="0"/>
        <w:pageBreakBefore w:val="0"/>
        <w:kinsoku/>
        <w:wordWrap/>
        <w:overflowPunct/>
        <w:topLinePunct w:val="0"/>
        <w:bidi w:val="0"/>
        <w:adjustRightInd/>
        <w:snapToGrid/>
        <w:spacing w:line="560" w:lineRule="exact"/>
        <w:ind w:firstLine="643" w:firstLineChars="200"/>
        <w:textAlignment w:val="auto"/>
        <w:outlineLvl w:val="2"/>
        <w:rPr>
          <w:rFonts w:hint="eastAsia" w:ascii="仿宋_GB2312" w:hAnsi="Times New Roman" w:eastAsia="仿宋_GB2312" w:cstheme="minorBidi"/>
          <w:color w:val="000000" w:themeColor="text1"/>
          <w:kern w:val="2"/>
          <w:sz w:val="28"/>
          <w:szCs w:val="28"/>
          <w:lang w:val="en-US" w:eastAsia="zh-CN" w:bidi="ar-SA"/>
          <w14:textFill>
            <w14:solidFill>
              <w14:schemeClr w14:val="tx1"/>
            </w14:solidFill>
          </w14:textFill>
        </w:rPr>
      </w:pPr>
      <w:r>
        <w:rPr>
          <w:rFonts w:hint="eastAsia" w:ascii="仿宋_GB2312" w:hAnsi="Times New Roman" w:eastAsia="仿宋_GB2312" w:cstheme="minorBidi"/>
          <w:b/>
          <w:bCs/>
          <w:color w:val="000000" w:themeColor="text1"/>
          <w:kern w:val="2"/>
          <w:sz w:val="32"/>
          <w:szCs w:val="32"/>
          <w:lang w:val="en-US" w:eastAsia="zh-CN" w:bidi="ar-SA"/>
          <w14:textFill>
            <w14:solidFill>
              <w14:schemeClr w14:val="tx1"/>
            </w14:solidFill>
          </w14:textFill>
        </w:rPr>
        <w:t>1.最小配套农田面积。</w:t>
      </w: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当以施用粪肥作为作物养分唯一来源时，猪场粪污全量还田需配套的最小农田面积按照作物氮磷养分的需要量确定,具体配套面积请参照表2；如作物部分施用粪肥的，需按照粪肥使用比例换算。</w:t>
      </w:r>
    </w:p>
    <w:p w14:paraId="16CC77BE">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center"/>
        <w:textAlignment w:val="auto"/>
        <w:rPr>
          <w:rFonts w:hint="eastAsia" w:ascii="仿宋_GB2312" w:hAnsi="Times New Roman" w:eastAsia="仿宋_GB2312" w:cstheme="minorBidi"/>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 xml:space="preserve"> 表2 粪肥还田需配套的最小还田面积</w:t>
      </w:r>
    </w:p>
    <w:p w14:paraId="0B9E4223">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仿宋_GB2312" w:hAnsi="仿宋_GB2312" w:eastAsia="仿宋_GB2312" w:cs="仿宋_GB2312"/>
          <w:kern w:val="0"/>
          <w:sz w:val="24"/>
          <w:szCs w:val="24"/>
        </w:rPr>
      </w:pPr>
      <w:r>
        <w:rPr>
          <w:rFonts w:hint="eastAsia"/>
          <w:kern w:val="0"/>
        </w:rPr>
        <w:t xml:space="preserve">                                                      </w:t>
      </w:r>
      <w:r>
        <w:rPr>
          <w:rFonts w:hint="eastAsia"/>
          <w:kern w:val="0"/>
          <w:sz w:val="18"/>
          <w:szCs w:val="18"/>
        </w:rPr>
        <w:t xml:space="preserve">        </w:t>
      </w:r>
      <w:r>
        <w:rPr>
          <w:rFonts w:hint="eastAsia" w:ascii="宋体" w:hAnsi="宋体" w:cs="宋体"/>
          <w:kern w:val="0"/>
          <w:sz w:val="24"/>
          <w:szCs w:val="24"/>
        </w:rPr>
        <w:t xml:space="preserve"> 单</w:t>
      </w:r>
      <w:r>
        <w:rPr>
          <w:rFonts w:hint="eastAsia" w:ascii="仿宋_GB2312" w:hAnsi="仿宋_GB2312" w:eastAsia="仿宋_GB2312" w:cs="仿宋_GB2312"/>
          <w:kern w:val="0"/>
          <w:sz w:val="24"/>
          <w:szCs w:val="24"/>
        </w:rPr>
        <w:t>位：667m</w:t>
      </w:r>
      <w:r>
        <w:rPr>
          <w:rFonts w:hint="eastAsia" w:ascii="仿宋_GB2312" w:hAnsi="仿宋_GB2312" w:eastAsia="仿宋_GB2312" w:cs="仿宋_GB2312"/>
          <w:kern w:val="0"/>
          <w:sz w:val="24"/>
          <w:szCs w:val="24"/>
          <w:vertAlign w:val="superscript"/>
        </w:rPr>
        <w:t>2</w:t>
      </w:r>
    </w:p>
    <w:tbl>
      <w:tblPr>
        <w:tblStyle w:val="5"/>
        <w:tblW w:w="8240" w:type="dxa"/>
        <w:jc w:val="center"/>
        <w:tblLayout w:type="fixed"/>
        <w:tblCellMar>
          <w:top w:w="0" w:type="dxa"/>
          <w:left w:w="108" w:type="dxa"/>
          <w:bottom w:w="0" w:type="dxa"/>
          <w:right w:w="108" w:type="dxa"/>
        </w:tblCellMar>
      </w:tblPr>
      <w:tblGrid>
        <w:gridCol w:w="1310"/>
        <w:gridCol w:w="1618"/>
        <w:gridCol w:w="2685"/>
        <w:gridCol w:w="2627"/>
      </w:tblGrid>
      <w:tr w14:paraId="770C6ABD">
        <w:tblPrEx>
          <w:tblCellMar>
            <w:top w:w="0" w:type="dxa"/>
            <w:left w:w="108" w:type="dxa"/>
            <w:bottom w:w="0" w:type="dxa"/>
            <w:right w:w="108" w:type="dxa"/>
          </w:tblCellMar>
        </w:tblPrEx>
        <w:trPr>
          <w:trHeight w:val="477" w:hRule="atLeast"/>
          <w:jc w:val="center"/>
        </w:trPr>
        <w:tc>
          <w:tcPr>
            <w:tcW w:w="1310" w:type="dxa"/>
            <w:vMerge w:val="restart"/>
            <w:tcBorders>
              <w:top w:val="single" w:color="000000" w:sz="4" w:space="0"/>
              <w:left w:val="single" w:color="000000" w:sz="4" w:space="0"/>
              <w:right w:val="single" w:color="000000" w:sz="4" w:space="0"/>
            </w:tcBorders>
            <w:noWrap/>
            <w:vAlign w:val="center"/>
          </w:tcPr>
          <w:p w14:paraId="0D3E48C8">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作物种类</w:t>
            </w:r>
          </w:p>
        </w:tc>
        <w:tc>
          <w:tcPr>
            <w:tcW w:w="1618" w:type="dxa"/>
            <w:vMerge w:val="restart"/>
            <w:tcBorders>
              <w:top w:val="single" w:color="000000" w:sz="4" w:space="0"/>
              <w:left w:val="single" w:color="000000" w:sz="4" w:space="0"/>
              <w:right w:val="single" w:color="000000" w:sz="4" w:space="0"/>
            </w:tcBorders>
            <w:noWrap w:val="0"/>
            <w:vAlign w:val="center"/>
          </w:tcPr>
          <w:p w14:paraId="18702A19">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作物名称</w:t>
            </w:r>
          </w:p>
        </w:tc>
        <w:tc>
          <w:tcPr>
            <w:tcW w:w="5312" w:type="dxa"/>
            <w:gridSpan w:val="2"/>
            <w:tcBorders>
              <w:top w:val="single" w:color="000000" w:sz="4" w:space="0"/>
              <w:left w:val="single" w:color="000000" w:sz="4" w:space="0"/>
              <w:bottom w:val="single" w:color="000000" w:sz="4" w:space="0"/>
              <w:right w:val="single" w:color="000000" w:sz="4" w:space="0"/>
            </w:tcBorders>
            <w:noWrap w:val="0"/>
            <w:vAlign w:val="center"/>
          </w:tcPr>
          <w:p w14:paraId="33B91435">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kern w:val="0"/>
                <w:sz w:val="24"/>
                <w:szCs w:val="24"/>
                <w:lang w:eastAsia="zh-CN" w:bidi="ar"/>
              </w:rPr>
            </w:pPr>
            <w:r>
              <w:rPr>
                <w:rFonts w:hint="eastAsia" w:ascii="仿宋_GB2312" w:hAnsi="仿宋_GB2312" w:eastAsia="仿宋_GB2312" w:cs="仿宋_GB2312"/>
                <w:color w:val="000000"/>
                <w:kern w:val="0"/>
                <w:sz w:val="24"/>
                <w:szCs w:val="24"/>
                <w:lang w:bidi="ar"/>
              </w:rPr>
              <w:t>1头存栏猪需要的最小还田面积（播种面积</w:t>
            </w:r>
            <w:r>
              <w:rPr>
                <w:rFonts w:hint="eastAsia" w:ascii="仿宋_GB2312" w:hAnsi="仿宋_GB2312" w:eastAsia="仿宋_GB2312" w:cs="仿宋_GB2312"/>
                <w:color w:val="000000"/>
                <w:kern w:val="0"/>
                <w:sz w:val="24"/>
                <w:szCs w:val="24"/>
                <w:lang w:eastAsia="zh-CN" w:bidi="ar"/>
              </w:rPr>
              <w:t>）</w:t>
            </w:r>
          </w:p>
        </w:tc>
      </w:tr>
      <w:tr w14:paraId="24842968">
        <w:tblPrEx>
          <w:tblCellMar>
            <w:top w:w="0" w:type="dxa"/>
            <w:left w:w="108" w:type="dxa"/>
            <w:bottom w:w="0" w:type="dxa"/>
            <w:right w:w="108" w:type="dxa"/>
          </w:tblCellMar>
        </w:tblPrEx>
        <w:trPr>
          <w:trHeight w:val="507" w:hRule="atLeast"/>
          <w:jc w:val="center"/>
        </w:trPr>
        <w:tc>
          <w:tcPr>
            <w:tcW w:w="1310" w:type="dxa"/>
            <w:vMerge w:val="continue"/>
            <w:tcBorders>
              <w:left w:val="single" w:color="000000" w:sz="4" w:space="0"/>
              <w:bottom w:val="single" w:color="000000" w:sz="4" w:space="0"/>
              <w:right w:val="single" w:color="000000" w:sz="4" w:space="0"/>
            </w:tcBorders>
            <w:noWrap/>
            <w:vAlign w:val="center"/>
          </w:tcPr>
          <w:p w14:paraId="2D0818F4">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宋体" w:hAnsi="宋体" w:cs="宋体"/>
                <w:color w:val="000000"/>
                <w:sz w:val="24"/>
                <w:szCs w:val="24"/>
              </w:rPr>
            </w:pPr>
          </w:p>
        </w:tc>
        <w:tc>
          <w:tcPr>
            <w:tcW w:w="1618" w:type="dxa"/>
            <w:vMerge w:val="continue"/>
            <w:tcBorders>
              <w:left w:val="single" w:color="000000" w:sz="4" w:space="0"/>
              <w:bottom w:val="single" w:color="000000" w:sz="4" w:space="0"/>
              <w:right w:val="single" w:color="000000" w:sz="4" w:space="0"/>
            </w:tcBorders>
            <w:noWrap w:val="0"/>
            <w:vAlign w:val="center"/>
          </w:tcPr>
          <w:p w14:paraId="5722207A">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宋体" w:hAnsi="宋体" w:cs="宋体"/>
                <w:color w:val="000000"/>
                <w:sz w:val="24"/>
                <w:szCs w:val="24"/>
              </w:rPr>
            </w:pPr>
          </w:p>
        </w:tc>
        <w:tc>
          <w:tcPr>
            <w:tcW w:w="2685" w:type="dxa"/>
            <w:tcBorders>
              <w:top w:val="single" w:color="000000" w:sz="4" w:space="0"/>
              <w:left w:val="single" w:color="000000" w:sz="4" w:space="0"/>
              <w:bottom w:val="single" w:color="000000" w:sz="4" w:space="0"/>
              <w:right w:val="single" w:color="000000" w:sz="4" w:space="0"/>
            </w:tcBorders>
            <w:noWrap w:val="0"/>
            <w:vAlign w:val="center"/>
          </w:tcPr>
          <w:p w14:paraId="352F262A">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sz w:val="24"/>
                <w:szCs w:val="24"/>
              </w:rPr>
              <w:t>以氮为限量</w:t>
            </w:r>
          </w:p>
        </w:tc>
        <w:tc>
          <w:tcPr>
            <w:tcW w:w="2627" w:type="dxa"/>
            <w:tcBorders>
              <w:top w:val="single" w:color="000000" w:sz="4" w:space="0"/>
              <w:left w:val="single" w:color="000000" w:sz="4" w:space="0"/>
              <w:bottom w:val="single" w:color="000000" w:sz="4" w:space="0"/>
              <w:right w:val="single" w:color="000000" w:sz="4" w:space="0"/>
            </w:tcBorders>
            <w:noWrap w:val="0"/>
            <w:vAlign w:val="center"/>
          </w:tcPr>
          <w:p w14:paraId="6F9EF0C1">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kern w:val="0"/>
                <w:sz w:val="24"/>
                <w:szCs w:val="24"/>
                <w:lang w:bidi="ar"/>
              </w:rPr>
            </w:pPr>
            <w:r>
              <w:rPr>
                <w:rFonts w:hint="eastAsia" w:ascii="仿宋_GB2312" w:hAnsi="仿宋_GB2312" w:eastAsia="仿宋_GB2312" w:cs="仿宋_GB2312"/>
                <w:color w:val="000000"/>
                <w:kern w:val="0"/>
                <w:sz w:val="24"/>
                <w:szCs w:val="24"/>
                <w:lang w:bidi="ar"/>
              </w:rPr>
              <w:t>以磷为限量</w:t>
            </w:r>
          </w:p>
        </w:tc>
      </w:tr>
      <w:tr w14:paraId="126BE510">
        <w:tblPrEx>
          <w:tblCellMar>
            <w:top w:w="0" w:type="dxa"/>
            <w:left w:w="108" w:type="dxa"/>
            <w:bottom w:w="0" w:type="dxa"/>
            <w:right w:w="108" w:type="dxa"/>
          </w:tblCellMar>
        </w:tblPrEx>
        <w:trPr>
          <w:trHeight w:val="288" w:hRule="atLeast"/>
          <w:jc w:val="center"/>
        </w:trPr>
        <w:tc>
          <w:tcPr>
            <w:tcW w:w="1310" w:type="dxa"/>
            <w:vMerge w:val="restart"/>
            <w:tcBorders>
              <w:top w:val="single" w:color="000000" w:sz="4" w:space="0"/>
              <w:left w:val="single" w:color="000000" w:sz="4" w:space="0"/>
              <w:bottom w:val="single" w:color="000000" w:sz="4" w:space="0"/>
              <w:right w:val="single" w:color="000000" w:sz="4" w:space="0"/>
            </w:tcBorders>
            <w:noWrap/>
            <w:vAlign w:val="center"/>
          </w:tcPr>
          <w:p w14:paraId="3D6058CD">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粮油作物</w:t>
            </w: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0213CB1E">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小麦</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56688154">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0.32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1B5A1CEC">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0.35 </w:t>
            </w:r>
          </w:p>
        </w:tc>
      </w:tr>
      <w:tr w14:paraId="43F0AF87">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32ADAC71">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59386C8D">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水稻</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4C97B19A">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0.43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3174215D">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0.43 </w:t>
            </w:r>
          </w:p>
        </w:tc>
      </w:tr>
      <w:tr w14:paraId="43F0F787">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20E40D10">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52B40BC3">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玉米</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322A7C14">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0.38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30BF2AB1">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1.06 </w:t>
            </w:r>
          </w:p>
        </w:tc>
      </w:tr>
      <w:tr w14:paraId="7FDA433B">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28CB3E8E">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76E98317">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甘薯</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24D07DD7">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0.48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74B5450D">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0.23 </w:t>
            </w:r>
          </w:p>
        </w:tc>
      </w:tr>
      <w:tr w14:paraId="68F5AB70">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16CD5772">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4EC3963A">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大豆</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1BF3B642">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0.32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75DA457D">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1.13 </w:t>
            </w:r>
          </w:p>
        </w:tc>
      </w:tr>
      <w:tr w14:paraId="23585E5D">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0520A66A">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7D5FE0D9">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油菜</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2CE520B1">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0.71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74431C56">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0.31 </w:t>
            </w:r>
          </w:p>
        </w:tc>
      </w:tr>
      <w:tr w14:paraId="574C7794">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1B04CF8E">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77A47AC5">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花生</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740CD00A">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0.91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15270C00">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0.37 </w:t>
            </w:r>
          </w:p>
        </w:tc>
      </w:tr>
      <w:tr w14:paraId="5FE6F4EB">
        <w:tblPrEx>
          <w:tblCellMar>
            <w:top w:w="0" w:type="dxa"/>
            <w:left w:w="108" w:type="dxa"/>
            <w:bottom w:w="0" w:type="dxa"/>
            <w:right w:w="108" w:type="dxa"/>
          </w:tblCellMar>
        </w:tblPrEx>
        <w:trPr>
          <w:trHeight w:val="288" w:hRule="atLeast"/>
          <w:jc w:val="center"/>
        </w:trPr>
        <w:tc>
          <w:tcPr>
            <w:tcW w:w="1310" w:type="dxa"/>
            <w:vMerge w:val="restart"/>
            <w:tcBorders>
              <w:top w:val="single" w:color="000000" w:sz="4" w:space="0"/>
              <w:left w:val="single" w:color="000000" w:sz="4" w:space="0"/>
              <w:bottom w:val="single" w:color="000000" w:sz="4" w:space="0"/>
              <w:right w:val="single" w:color="000000" w:sz="4" w:space="0"/>
            </w:tcBorders>
            <w:noWrap/>
            <w:vAlign w:val="center"/>
          </w:tcPr>
          <w:p w14:paraId="30DF5068">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蔬菜作物</w:t>
            </w: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6043AAE8">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黄瓜</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10432ADE">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0.27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0E967413">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0.30 </w:t>
            </w:r>
          </w:p>
        </w:tc>
      </w:tr>
      <w:tr w14:paraId="535DC395">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60D4FA1F">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66C84520">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番茄</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2ACFF0CD">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0.23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1D43834A">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0.27 </w:t>
            </w:r>
          </w:p>
        </w:tc>
      </w:tr>
      <w:tr w14:paraId="1E74FDBF">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64058ABF">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72258CAC">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青椒</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3CD09B9C">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0.25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050F4EF3">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0.41 </w:t>
            </w:r>
          </w:p>
        </w:tc>
      </w:tr>
      <w:tr w14:paraId="7B0E69F2">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1FDE7F45">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7C497C1C">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茄子</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3BD0A6D4">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0.25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1329891E">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0.30 </w:t>
            </w:r>
          </w:p>
        </w:tc>
      </w:tr>
      <w:tr w14:paraId="10B22921">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0E29BD0E">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49937DAB">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大白菜</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45ECEC4A">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0.42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54E9453C">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0.33 </w:t>
            </w:r>
          </w:p>
        </w:tc>
      </w:tr>
      <w:tr w14:paraId="1E0B04C2">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3C041454">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792C4010">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萝卜</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4CACA3EC">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0.45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4BAA1E37">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0.76 </w:t>
            </w:r>
          </w:p>
        </w:tc>
      </w:tr>
      <w:tr w14:paraId="48D52ED2">
        <w:tblPrEx>
          <w:tblCellMar>
            <w:top w:w="0" w:type="dxa"/>
            <w:left w:w="108" w:type="dxa"/>
            <w:bottom w:w="0" w:type="dxa"/>
            <w:right w:w="108" w:type="dxa"/>
          </w:tblCellMar>
        </w:tblPrEx>
        <w:trPr>
          <w:trHeight w:val="288" w:hRule="atLeast"/>
          <w:jc w:val="center"/>
        </w:trPr>
        <w:tc>
          <w:tcPr>
            <w:tcW w:w="1310" w:type="dxa"/>
            <w:vMerge w:val="restart"/>
            <w:tcBorders>
              <w:top w:val="single" w:color="000000" w:sz="4" w:space="0"/>
              <w:left w:val="single" w:color="000000" w:sz="4" w:space="0"/>
              <w:bottom w:val="single" w:color="000000" w:sz="4" w:space="0"/>
              <w:right w:val="single" w:color="000000" w:sz="4" w:space="0"/>
            </w:tcBorders>
            <w:noWrap/>
            <w:vAlign w:val="center"/>
          </w:tcPr>
          <w:p w14:paraId="0E09717F">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果树作物</w:t>
            </w: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74E2CD46">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桃</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081FF6FF">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0.89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6070E573">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2.28 </w:t>
            </w:r>
          </w:p>
        </w:tc>
      </w:tr>
      <w:tr w14:paraId="54DB5646">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1B5CA512">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0E60B46A">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葡萄</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2006420D">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0.30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6854F4F5">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0.16 </w:t>
            </w:r>
          </w:p>
        </w:tc>
      </w:tr>
      <w:tr w14:paraId="59D4E112">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00DE45C6">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31CCA5CB">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柑桔</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24B7FF80">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0.42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47F6C2BD">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0.83 </w:t>
            </w:r>
          </w:p>
        </w:tc>
      </w:tr>
      <w:tr w14:paraId="74A1D361">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5F8C4B52">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16695A9F">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宽皮柑橘类</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32B7991A">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0.34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1123BDD8">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0.47 </w:t>
            </w:r>
          </w:p>
        </w:tc>
      </w:tr>
      <w:tr w14:paraId="55E972E4">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74D50751">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6B647FED">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甜橙类</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6D8B8F3D">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0.28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4F864E26">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0.33 </w:t>
            </w:r>
          </w:p>
        </w:tc>
      </w:tr>
      <w:tr w14:paraId="416099E3">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67A4E621">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21CDAE89">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柚类</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67FB686A">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0.21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30736EB9">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0.26 </w:t>
            </w:r>
          </w:p>
        </w:tc>
      </w:tr>
      <w:tr w14:paraId="5E6B86FF">
        <w:tblPrEx>
          <w:tblCellMar>
            <w:top w:w="0" w:type="dxa"/>
            <w:left w:w="108" w:type="dxa"/>
            <w:bottom w:w="0" w:type="dxa"/>
            <w:right w:w="108" w:type="dxa"/>
          </w:tblCellMar>
        </w:tblPrEx>
        <w:trPr>
          <w:trHeight w:val="288" w:hRule="atLeast"/>
          <w:jc w:val="center"/>
        </w:trPr>
        <w:tc>
          <w:tcPr>
            <w:tcW w:w="1310" w:type="dxa"/>
            <w:vMerge w:val="restart"/>
            <w:tcBorders>
              <w:top w:val="single" w:color="000000" w:sz="4" w:space="0"/>
              <w:left w:val="single" w:color="000000" w:sz="4" w:space="0"/>
              <w:bottom w:val="single" w:color="000000" w:sz="4" w:space="0"/>
              <w:right w:val="single" w:color="000000" w:sz="4" w:space="0"/>
            </w:tcBorders>
            <w:noWrap/>
            <w:vAlign w:val="center"/>
          </w:tcPr>
          <w:p w14:paraId="5F831B22">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饲草作物</w:t>
            </w: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3980A716">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象草</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086B9354">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0.23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69BD912A">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0.17 </w:t>
            </w:r>
          </w:p>
        </w:tc>
      </w:tr>
      <w:tr w14:paraId="109DED5B">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4E984FD0">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0682CD86">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黑麦草</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4DE47A60">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0.47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398ACE56">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0.34 </w:t>
            </w:r>
          </w:p>
        </w:tc>
      </w:tr>
      <w:tr w14:paraId="35B23807">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5928E339">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000000"/>
                <w:sz w:val="24"/>
                <w:szCs w:val="24"/>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2579CF0B">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青贮玉米</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43C00A1E">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0.47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1027E3E2">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0.13 </w:t>
            </w:r>
          </w:p>
        </w:tc>
      </w:tr>
      <w:tr w14:paraId="3DDA5A2F">
        <w:tblPrEx>
          <w:tblCellMar>
            <w:top w:w="0" w:type="dxa"/>
            <w:left w:w="108" w:type="dxa"/>
            <w:bottom w:w="0" w:type="dxa"/>
            <w:right w:w="108" w:type="dxa"/>
          </w:tblCellMar>
        </w:tblPrEx>
        <w:trPr>
          <w:trHeight w:val="288" w:hRule="atLeast"/>
          <w:jc w:val="center"/>
        </w:trPr>
        <w:tc>
          <w:tcPr>
            <w:tcW w:w="1310" w:type="dxa"/>
            <w:vMerge w:val="restart"/>
            <w:tcBorders>
              <w:top w:val="single" w:color="000000" w:sz="4" w:space="0"/>
              <w:left w:val="single" w:color="000000" w:sz="4" w:space="0"/>
              <w:bottom w:val="single" w:color="000000" w:sz="4" w:space="0"/>
              <w:right w:val="single" w:color="000000" w:sz="4" w:space="0"/>
            </w:tcBorders>
            <w:noWrap/>
            <w:vAlign w:val="center"/>
          </w:tcPr>
          <w:p w14:paraId="58B62D9B">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林木作物</w:t>
            </w: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605B93C9">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仿宋_GB2312" w:hAnsi="仿宋_GB2312" w:eastAsia="仿宋_GB2312" w:cs="仿宋_GB2312"/>
                <w:color w:val="000000"/>
                <w:sz w:val="24"/>
                <w:szCs w:val="24"/>
              </w:rPr>
            </w:pPr>
            <w:r>
              <w:rPr>
                <w:rFonts w:hint="eastAsia" w:ascii="仿宋_GB2312" w:hAnsi="仿宋_GB2312" w:eastAsia="仿宋_GB2312" w:cs="仿宋_GB2312"/>
                <w:color w:val="000000"/>
                <w:kern w:val="0"/>
                <w:sz w:val="24"/>
                <w:szCs w:val="24"/>
                <w:lang w:bidi="ar"/>
              </w:rPr>
              <w:t>杉树</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7C84701A">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0.17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393E0283">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0.03 </w:t>
            </w:r>
          </w:p>
        </w:tc>
      </w:tr>
      <w:tr w14:paraId="537CFAFF">
        <w:tblPrEx>
          <w:tblCellMar>
            <w:top w:w="0" w:type="dxa"/>
            <w:left w:w="108" w:type="dxa"/>
            <w:bottom w:w="0" w:type="dxa"/>
            <w:right w:w="108" w:type="dxa"/>
          </w:tblCellMar>
        </w:tblPrEx>
        <w:trPr>
          <w:trHeight w:val="288" w:hRule="atLeast"/>
          <w:jc w:val="center"/>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06E7DD4D">
            <w:pPr>
              <w:keepNext w:val="0"/>
              <w:keepLines w:val="0"/>
              <w:pageBreakBefore w:val="0"/>
              <w:kinsoku/>
              <w:wordWrap/>
              <w:overflowPunct/>
              <w:topLinePunct w:val="0"/>
              <w:autoSpaceDE/>
              <w:autoSpaceDN/>
              <w:bidi w:val="0"/>
              <w:adjustRightInd/>
              <w:snapToGrid/>
              <w:spacing w:line="360" w:lineRule="exact"/>
              <w:jc w:val="center"/>
              <w:rPr>
                <w:rFonts w:hint="eastAsia" w:ascii="宋体" w:hAnsi="宋体" w:cs="宋体"/>
                <w:color w:val="000000"/>
                <w:sz w:val="18"/>
                <w:szCs w:val="18"/>
              </w:rPr>
            </w:pPr>
          </w:p>
        </w:tc>
        <w:tc>
          <w:tcPr>
            <w:tcW w:w="1618" w:type="dxa"/>
            <w:tcBorders>
              <w:top w:val="single" w:color="000000" w:sz="4" w:space="0"/>
              <w:left w:val="single" w:color="000000" w:sz="4" w:space="0"/>
              <w:bottom w:val="single" w:color="000000" w:sz="4" w:space="0"/>
              <w:right w:val="single" w:color="000000" w:sz="4" w:space="0"/>
            </w:tcBorders>
            <w:noWrap/>
            <w:vAlign w:val="center"/>
          </w:tcPr>
          <w:p w14:paraId="3D2CA55B">
            <w:pPr>
              <w:keepNext w:val="0"/>
              <w:keepLines w:val="0"/>
              <w:pageBreakBefore w:val="0"/>
              <w:widowControl/>
              <w:kinsoku/>
              <w:wordWrap/>
              <w:overflowPunct/>
              <w:topLinePunct w:val="0"/>
              <w:autoSpaceDE/>
              <w:autoSpaceDN/>
              <w:bidi w:val="0"/>
              <w:adjustRightInd/>
              <w:snapToGrid/>
              <w:spacing w:line="360" w:lineRule="exact"/>
              <w:jc w:val="center"/>
              <w:textAlignment w:val="center"/>
              <w:rPr>
                <w:rFonts w:hint="eastAsia" w:ascii="宋体" w:hAnsi="宋体" w:cs="宋体"/>
                <w:color w:val="000000"/>
                <w:sz w:val="18"/>
                <w:szCs w:val="18"/>
              </w:rPr>
            </w:pPr>
            <w:r>
              <w:rPr>
                <w:rFonts w:hint="eastAsia" w:ascii="仿宋_GB2312" w:hAnsi="仿宋_GB2312" w:eastAsia="仿宋_GB2312" w:cs="仿宋_GB2312"/>
                <w:color w:val="000000"/>
                <w:kern w:val="0"/>
                <w:sz w:val="24"/>
                <w:szCs w:val="24"/>
                <w:lang w:bidi="ar"/>
              </w:rPr>
              <w:t>油茶</w:t>
            </w:r>
          </w:p>
        </w:tc>
        <w:tc>
          <w:tcPr>
            <w:tcW w:w="2685" w:type="dxa"/>
            <w:tcBorders>
              <w:top w:val="single" w:color="000000" w:sz="4" w:space="0"/>
              <w:left w:val="single" w:color="000000" w:sz="4" w:space="0"/>
              <w:bottom w:val="single" w:color="000000" w:sz="4" w:space="0"/>
              <w:right w:val="single" w:color="000000" w:sz="4" w:space="0"/>
            </w:tcBorders>
            <w:noWrap/>
            <w:vAlign w:val="center"/>
          </w:tcPr>
          <w:p w14:paraId="7E2E2C44">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sz w:val="24"/>
                <w:szCs w:val="24"/>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0.17 </w:t>
            </w:r>
          </w:p>
        </w:tc>
        <w:tc>
          <w:tcPr>
            <w:tcW w:w="2627" w:type="dxa"/>
            <w:tcBorders>
              <w:top w:val="single" w:color="000000" w:sz="4" w:space="0"/>
              <w:left w:val="single" w:color="000000" w:sz="4" w:space="0"/>
              <w:bottom w:val="single" w:color="000000" w:sz="4" w:space="0"/>
              <w:right w:val="single" w:color="000000" w:sz="4" w:space="0"/>
            </w:tcBorders>
            <w:noWrap/>
            <w:vAlign w:val="center"/>
          </w:tcPr>
          <w:p w14:paraId="5C136B67">
            <w:pPr>
              <w:keepNext w:val="0"/>
              <w:keepLines w:val="0"/>
              <w:pageBreakBefore w:val="0"/>
              <w:widowControl/>
              <w:suppressLineNumbers w:val="0"/>
              <w:kinsoku/>
              <w:wordWrap/>
              <w:overflowPunct/>
              <w:topLinePunct w:val="0"/>
              <w:autoSpaceDE/>
              <w:autoSpaceDN/>
              <w:bidi w:val="0"/>
              <w:adjustRightInd/>
              <w:snapToGrid/>
              <w:spacing w:line="360" w:lineRule="exact"/>
              <w:jc w:val="center"/>
              <w:textAlignment w:val="center"/>
              <w:rPr>
                <w:rFonts w:hint="default" w:ascii="Times New Roman" w:hAnsi="Times New Roman" w:eastAsia="仿宋_GB2312" w:cs="Times New Roman"/>
                <w:color w:val="000000"/>
                <w:kern w:val="0"/>
                <w:sz w:val="24"/>
                <w:szCs w:val="24"/>
                <w:lang w:bidi="ar"/>
              </w:rPr>
            </w:pPr>
            <w:r>
              <w:rPr>
                <w:rFonts w:hint="default" w:ascii="Times New Roman" w:hAnsi="Times New Roman" w:eastAsia="仿宋_GB2312" w:cs="Times New Roman"/>
                <w:b w:val="0"/>
                <w:bCs w:val="0"/>
                <w:i w:val="0"/>
                <w:iCs w:val="0"/>
                <w:color w:val="000000"/>
                <w:kern w:val="0"/>
                <w:sz w:val="24"/>
                <w:szCs w:val="24"/>
                <w:u w:val="none"/>
                <w:lang w:val="en-US" w:eastAsia="zh-CN" w:bidi="ar"/>
              </w:rPr>
              <w:t xml:space="preserve">0.05 </w:t>
            </w:r>
          </w:p>
        </w:tc>
      </w:tr>
    </w:tbl>
    <w:p w14:paraId="663AC4B0">
      <w:pPr>
        <w:pStyle w:val="12"/>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560" w:lineRule="exact"/>
        <w:ind w:firstLine="643" w:firstLineChars="200"/>
        <w:textAlignment w:val="auto"/>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pPr>
      <w:r>
        <w:rPr>
          <w:rFonts w:hint="eastAsia" w:ascii="仿宋_GB2312" w:hAnsi="Times New Roman" w:eastAsia="仿宋_GB2312" w:cstheme="minorBidi"/>
          <w:b/>
          <w:bCs/>
          <w:color w:val="000000" w:themeColor="text1"/>
          <w:kern w:val="2"/>
          <w:sz w:val="32"/>
          <w:szCs w:val="32"/>
          <w:lang w:val="en-US" w:eastAsia="zh-CN" w:bidi="ar-SA"/>
          <w14:textFill>
            <w14:solidFill>
              <w14:schemeClr w14:val="tx1"/>
            </w14:solidFill>
          </w14:textFill>
        </w:rPr>
        <w:t>2.施用量。</w:t>
      </w: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粪肥还田施用前，应对粪肥中的全氮、全磷进行测定。根据作物氮、磷养分需求量分别计算粪肥施用量，取两者的最小值。当粪肥作为作物养分唯一来源时，每茬作物粪肥最大施用量参照表3。</w:t>
      </w:r>
    </w:p>
    <w:p w14:paraId="4663D868">
      <w:pPr>
        <w:pStyle w:val="11"/>
        <w:ind w:left="0" w:leftChars="0" w:firstLine="0" w:firstLineChars="0"/>
        <w:jc w:val="cente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表3 各类作物单位面积每茬粪肥最大施用量</w:t>
      </w:r>
    </w:p>
    <w:p w14:paraId="574A2A1F">
      <w:pPr>
        <w:pStyle w:val="11"/>
        <w:rPr>
          <w:rFonts w:hint="eastAsia"/>
          <w:sz w:val="24"/>
          <w:szCs w:val="24"/>
          <w:lang w:val="en-US" w:eastAsia="zh-CN"/>
        </w:rPr>
      </w:pPr>
      <w:r>
        <w:rPr>
          <w:rFonts w:hint="eastAsia"/>
          <w:lang w:val="en-US" w:eastAsia="zh-CN"/>
        </w:rPr>
        <w:t xml:space="preserve">                                                    </w:t>
      </w:r>
      <w:r>
        <w:rPr>
          <w:rFonts w:hint="eastAsia"/>
          <w:sz w:val="24"/>
          <w:szCs w:val="24"/>
          <w:lang w:val="en-US" w:eastAsia="zh-CN"/>
        </w:rPr>
        <w:t>单位：m</w:t>
      </w:r>
      <w:r>
        <w:rPr>
          <w:rFonts w:hint="eastAsia"/>
          <w:sz w:val="24"/>
          <w:szCs w:val="24"/>
          <w:vertAlign w:val="superscript"/>
          <w:lang w:val="en-US" w:eastAsia="zh-CN"/>
        </w:rPr>
        <w:t>3</w:t>
      </w:r>
      <w:r>
        <w:rPr>
          <w:rFonts w:hint="eastAsia"/>
          <w:sz w:val="24"/>
          <w:szCs w:val="24"/>
          <w:lang w:val="en-US" w:eastAsia="zh-CN"/>
        </w:rPr>
        <w:t>/667m</w:t>
      </w:r>
      <w:r>
        <w:rPr>
          <w:rFonts w:hint="eastAsia"/>
          <w:sz w:val="24"/>
          <w:szCs w:val="24"/>
          <w:vertAlign w:val="superscript"/>
          <w:lang w:val="en-US" w:eastAsia="zh-CN"/>
        </w:rPr>
        <w:t>2</w:t>
      </w:r>
    </w:p>
    <w:tbl>
      <w:tblPr>
        <w:tblStyle w:val="5"/>
        <w:tblW w:w="7096" w:type="dxa"/>
        <w:jc w:val="center"/>
        <w:tblLayout w:type="fixed"/>
        <w:tblCellMar>
          <w:top w:w="0" w:type="dxa"/>
          <w:left w:w="108" w:type="dxa"/>
          <w:bottom w:w="0" w:type="dxa"/>
          <w:right w:w="108" w:type="dxa"/>
        </w:tblCellMar>
      </w:tblPr>
      <w:tblGrid>
        <w:gridCol w:w="1656"/>
        <w:gridCol w:w="2635"/>
        <w:gridCol w:w="2805"/>
      </w:tblGrid>
      <w:tr w14:paraId="0E6C1296">
        <w:tblPrEx>
          <w:tblCellMar>
            <w:top w:w="0" w:type="dxa"/>
            <w:left w:w="108" w:type="dxa"/>
            <w:bottom w:w="0" w:type="dxa"/>
            <w:right w:w="108" w:type="dxa"/>
          </w:tblCellMar>
        </w:tblPrEx>
        <w:trPr>
          <w:trHeight w:val="414" w:hRule="atLeast"/>
          <w:jc w:val="center"/>
        </w:trPr>
        <w:tc>
          <w:tcPr>
            <w:tcW w:w="1656" w:type="dxa"/>
            <w:tcBorders>
              <w:top w:val="single" w:color="000000" w:sz="4" w:space="0"/>
              <w:left w:val="single" w:color="000000" w:sz="4" w:space="0"/>
              <w:right w:val="single" w:color="000000" w:sz="4" w:space="0"/>
            </w:tcBorders>
            <w:noWrap/>
            <w:vAlign w:val="center"/>
          </w:tcPr>
          <w:p w14:paraId="2BC7C241">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作物种类</w:t>
            </w:r>
          </w:p>
        </w:tc>
        <w:tc>
          <w:tcPr>
            <w:tcW w:w="2635" w:type="dxa"/>
            <w:tcBorders>
              <w:top w:val="single" w:color="000000" w:sz="4" w:space="0"/>
              <w:left w:val="single" w:color="000000" w:sz="4" w:space="0"/>
              <w:right w:val="single" w:color="000000" w:sz="4" w:space="0"/>
            </w:tcBorders>
            <w:noWrap w:val="0"/>
            <w:vAlign w:val="center"/>
          </w:tcPr>
          <w:p w14:paraId="44091012">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作物名称</w:t>
            </w:r>
          </w:p>
        </w:tc>
        <w:tc>
          <w:tcPr>
            <w:tcW w:w="2805" w:type="dxa"/>
            <w:tcBorders>
              <w:top w:val="single" w:color="000000" w:sz="4" w:space="0"/>
              <w:left w:val="single" w:color="000000" w:sz="4" w:space="0"/>
              <w:bottom w:val="single" w:color="000000" w:sz="4" w:space="0"/>
              <w:right w:val="single" w:color="000000" w:sz="4" w:space="0"/>
            </w:tcBorders>
            <w:noWrap w:val="0"/>
            <w:vAlign w:val="center"/>
          </w:tcPr>
          <w:p w14:paraId="10685DC9">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每茬粪肥最大施用量</w:t>
            </w:r>
          </w:p>
        </w:tc>
      </w:tr>
      <w:tr w14:paraId="425D99D6">
        <w:tblPrEx>
          <w:tblCellMar>
            <w:top w:w="0" w:type="dxa"/>
            <w:left w:w="108" w:type="dxa"/>
            <w:bottom w:w="0" w:type="dxa"/>
            <w:right w:w="108" w:type="dxa"/>
          </w:tblCellMar>
        </w:tblPrEx>
        <w:trPr>
          <w:trHeight w:val="287" w:hRule="atLeast"/>
          <w:jc w:val="center"/>
        </w:trPr>
        <w:tc>
          <w:tcPr>
            <w:tcW w:w="1656" w:type="dxa"/>
            <w:vMerge w:val="restart"/>
            <w:tcBorders>
              <w:top w:val="single" w:color="000000" w:sz="4" w:space="0"/>
              <w:left w:val="single" w:color="000000" w:sz="4" w:space="0"/>
              <w:bottom w:val="single" w:color="000000" w:sz="4" w:space="0"/>
              <w:right w:val="single" w:color="000000" w:sz="4" w:space="0"/>
            </w:tcBorders>
            <w:noWrap/>
            <w:vAlign w:val="center"/>
          </w:tcPr>
          <w:p w14:paraId="7291DAAC">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粮油作物</w:t>
            </w: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567213BF">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小麦</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271F655D">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10.4</w:t>
            </w:r>
          </w:p>
        </w:tc>
      </w:tr>
      <w:tr w14:paraId="7C089535">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4975540F">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24DCB15F">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水稻</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541B6778">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8.5</w:t>
            </w:r>
          </w:p>
        </w:tc>
      </w:tr>
      <w:tr w14:paraId="6C5DC94A">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423EF172">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2BD90B45">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玉米</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789898D8">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3.4</w:t>
            </w:r>
          </w:p>
        </w:tc>
      </w:tr>
      <w:tr w14:paraId="18A3932A">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692A1C9B">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1754CAE9">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甘薯</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6B3F55BD">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7.5</w:t>
            </w:r>
          </w:p>
        </w:tc>
      </w:tr>
      <w:tr w14:paraId="3B8D67F1">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37319508">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4CD2A4D3">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大豆</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443C0DE0">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3.2</w:t>
            </w:r>
          </w:p>
        </w:tc>
      </w:tr>
      <w:tr w14:paraId="40B2229B">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654D46EA">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4004BBD0">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油菜</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0B7AE3CC">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5.1</w:t>
            </w:r>
          </w:p>
        </w:tc>
      </w:tr>
      <w:tr w14:paraId="204E9D80">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4590608B">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5DE2419E">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花生</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7E28871F">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4.0</w:t>
            </w:r>
          </w:p>
        </w:tc>
      </w:tr>
      <w:tr w14:paraId="4A8FFA64">
        <w:tblPrEx>
          <w:tblCellMar>
            <w:top w:w="0" w:type="dxa"/>
            <w:left w:w="108" w:type="dxa"/>
            <w:bottom w:w="0" w:type="dxa"/>
            <w:right w:w="108" w:type="dxa"/>
          </w:tblCellMar>
        </w:tblPrEx>
        <w:trPr>
          <w:trHeight w:val="288" w:hRule="atLeast"/>
          <w:jc w:val="center"/>
        </w:trPr>
        <w:tc>
          <w:tcPr>
            <w:tcW w:w="1656" w:type="dxa"/>
            <w:vMerge w:val="restart"/>
            <w:tcBorders>
              <w:top w:val="single" w:color="000000" w:sz="4" w:space="0"/>
              <w:left w:val="single" w:color="000000" w:sz="4" w:space="0"/>
              <w:bottom w:val="single" w:color="000000" w:sz="4" w:space="0"/>
              <w:right w:val="single" w:color="000000" w:sz="4" w:space="0"/>
            </w:tcBorders>
            <w:noWrap/>
            <w:vAlign w:val="center"/>
          </w:tcPr>
          <w:p w14:paraId="5D0745E8">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蔬菜作物</w:t>
            </w: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1406832A">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黄瓜</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2453C3AC">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12.0</w:t>
            </w:r>
          </w:p>
        </w:tc>
      </w:tr>
      <w:tr w14:paraId="2CFAE9E8">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1471CC8D">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41094101">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番茄</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399AE4C0">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13.3</w:t>
            </w:r>
          </w:p>
        </w:tc>
      </w:tr>
      <w:tr w14:paraId="4C2CCB04">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78BD956A">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0ABCE345">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青椒</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161A992A">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8.8</w:t>
            </w:r>
          </w:p>
        </w:tc>
      </w:tr>
      <w:tr w14:paraId="65B6C3D1">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6582D6E5">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578477FD">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茄子</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26762E62">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12.0</w:t>
            </w:r>
          </w:p>
        </w:tc>
      </w:tr>
      <w:tr w14:paraId="3AA6DEC6">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52B9B44B">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43A4ED50">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大白菜</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39A2E089">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8.8</w:t>
            </w:r>
          </w:p>
        </w:tc>
      </w:tr>
      <w:tr w14:paraId="1D39EFCA">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55A82874">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51B7B07F">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萝卜</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6CB67C73">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4.8</w:t>
            </w:r>
          </w:p>
        </w:tc>
      </w:tr>
      <w:tr w14:paraId="22EA9DDD">
        <w:tblPrEx>
          <w:tblCellMar>
            <w:top w:w="0" w:type="dxa"/>
            <w:left w:w="108" w:type="dxa"/>
            <w:bottom w:w="0" w:type="dxa"/>
            <w:right w:w="108" w:type="dxa"/>
          </w:tblCellMar>
        </w:tblPrEx>
        <w:trPr>
          <w:trHeight w:val="288" w:hRule="atLeast"/>
          <w:jc w:val="center"/>
        </w:trPr>
        <w:tc>
          <w:tcPr>
            <w:tcW w:w="1656" w:type="dxa"/>
            <w:vMerge w:val="restart"/>
            <w:tcBorders>
              <w:top w:val="single" w:color="000000" w:sz="4" w:space="0"/>
              <w:left w:val="single" w:color="000000" w:sz="4" w:space="0"/>
              <w:bottom w:val="single" w:color="000000" w:sz="4" w:space="0"/>
              <w:right w:val="single" w:color="000000" w:sz="4" w:space="0"/>
            </w:tcBorders>
            <w:noWrap/>
            <w:vAlign w:val="center"/>
          </w:tcPr>
          <w:p w14:paraId="76BD9CDC">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果树作物</w:t>
            </w: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6D546B44">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桃</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1A7B95B5">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1.6</w:t>
            </w:r>
          </w:p>
        </w:tc>
      </w:tr>
      <w:tr w14:paraId="22251548">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55BA0181">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12172FFA">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葡萄</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1DD3C532">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12.0</w:t>
            </w:r>
          </w:p>
        </w:tc>
      </w:tr>
      <w:tr w14:paraId="3D62B18D">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2FB07962">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77A67F6D">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柑桔</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100BCBE2">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4.4</w:t>
            </w:r>
          </w:p>
        </w:tc>
      </w:tr>
      <w:tr w14:paraId="6F6C28FE">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51A683CC">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30857A10">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宽皮柑橘类</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4B2ED987">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7.8</w:t>
            </w:r>
          </w:p>
        </w:tc>
      </w:tr>
      <w:tr w14:paraId="14F7A85A">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29064302">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21B5D737">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甜橙类</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446CB4BE">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10.9</w:t>
            </w:r>
          </w:p>
        </w:tc>
      </w:tr>
      <w:tr w14:paraId="3B3A5741">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57D324EB">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4239F10A">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柚类</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2E8ED9EC">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14.0</w:t>
            </w:r>
          </w:p>
        </w:tc>
      </w:tr>
      <w:tr w14:paraId="357125BA">
        <w:tblPrEx>
          <w:tblCellMar>
            <w:top w:w="0" w:type="dxa"/>
            <w:left w:w="108" w:type="dxa"/>
            <w:bottom w:w="0" w:type="dxa"/>
            <w:right w:w="108" w:type="dxa"/>
          </w:tblCellMar>
        </w:tblPrEx>
        <w:trPr>
          <w:trHeight w:val="288" w:hRule="atLeast"/>
          <w:jc w:val="center"/>
        </w:trPr>
        <w:tc>
          <w:tcPr>
            <w:tcW w:w="1656" w:type="dxa"/>
            <w:vMerge w:val="restart"/>
            <w:tcBorders>
              <w:top w:val="single" w:color="000000" w:sz="4" w:space="0"/>
              <w:left w:val="single" w:color="000000" w:sz="4" w:space="0"/>
              <w:bottom w:val="single" w:color="000000" w:sz="4" w:space="0"/>
              <w:right w:val="single" w:color="000000" w:sz="4" w:space="0"/>
            </w:tcBorders>
            <w:noWrap/>
            <w:vAlign w:val="center"/>
          </w:tcPr>
          <w:p w14:paraId="76D902BD">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饲草作物</w:t>
            </w: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1F8E4C7C">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象草</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6C859030">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15.6</w:t>
            </w:r>
          </w:p>
        </w:tc>
      </w:tr>
      <w:tr w14:paraId="3008D3C3">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2DD4CF54">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5D64448F">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黑麦草</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4981AE20">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7.8</w:t>
            </w:r>
          </w:p>
        </w:tc>
      </w:tr>
      <w:tr w14:paraId="13634716">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16B4EEEE">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00C3DA24">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青贮玉米</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51D89991">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7.8</w:t>
            </w:r>
          </w:p>
        </w:tc>
      </w:tr>
      <w:tr w14:paraId="2C2D03C0">
        <w:tblPrEx>
          <w:tblCellMar>
            <w:top w:w="0" w:type="dxa"/>
            <w:left w:w="108" w:type="dxa"/>
            <w:bottom w:w="0" w:type="dxa"/>
            <w:right w:w="108" w:type="dxa"/>
          </w:tblCellMar>
        </w:tblPrEx>
        <w:trPr>
          <w:trHeight w:val="288" w:hRule="atLeast"/>
          <w:jc w:val="center"/>
        </w:trPr>
        <w:tc>
          <w:tcPr>
            <w:tcW w:w="1656" w:type="dxa"/>
            <w:vMerge w:val="restart"/>
            <w:tcBorders>
              <w:top w:val="single" w:color="000000" w:sz="4" w:space="0"/>
              <w:left w:val="single" w:color="000000" w:sz="4" w:space="0"/>
              <w:bottom w:val="single" w:color="000000" w:sz="4" w:space="0"/>
              <w:right w:val="single" w:color="000000" w:sz="4" w:space="0"/>
            </w:tcBorders>
            <w:noWrap/>
            <w:vAlign w:val="center"/>
          </w:tcPr>
          <w:p w14:paraId="2CDF7E65">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林木作物</w:t>
            </w: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43A037A9">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杉树</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578FAE99">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21.4</w:t>
            </w:r>
          </w:p>
        </w:tc>
      </w:tr>
      <w:tr w14:paraId="5E473432">
        <w:tblPrEx>
          <w:tblCellMar>
            <w:top w:w="0" w:type="dxa"/>
            <w:left w:w="108" w:type="dxa"/>
            <w:bottom w:w="0" w:type="dxa"/>
            <w:right w:w="108" w:type="dxa"/>
          </w:tblCellMar>
        </w:tblPrEx>
        <w:trPr>
          <w:trHeight w:val="288" w:hRule="atLeast"/>
          <w:jc w:val="center"/>
        </w:trPr>
        <w:tc>
          <w:tcPr>
            <w:tcW w:w="1656" w:type="dxa"/>
            <w:vMerge w:val="continue"/>
            <w:tcBorders>
              <w:top w:val="single" w:color="000000" w:sz="4" w:space="0"/>
              <w:left w:val="single" w:color="000000" w:sz="4" w:space="0"/>
              <w:bottom w:val="single" w:color="000000" w:sz="4" w:space="0"/>
              <w:right w:val="single" w:color="000000" w:sz="4" w:space="0"/>
            </w:tcBorders>
            <w:noWrap/>
            <w:vAlign w:val="center"/>
          </w:tcPr>
          <w:p w14:paraId="4A26282A">
            <w:pPr>
              <w:pStyle w:val="11"/>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仿宋_GB2312" w:cs="Times New Roman"/>
                <w:sz w:val="24"/>
                <w:szCs w:val="24"/>
                <w:lang w:val="en-US" w:eastAsia="zh-CN"/>
              </w:rPr>
            </w:pPr>
          </w:p>
        </w:tc>
        <w:tc>
          <w:tcPr>
            <w:tcW w:w="2635" w:type="dxa"/>
            <w:tcBorders>
              <w:top w:val="single" w:color="000000" w:sz="4" w:space="0"/>
              <w:left w:val="single" w:color="000000" w:sz="4" w:space="0"/>
              <w:bottom w:val="single" w:color="000000" w:sz="4" w:space="0"/>
              <w:right w:val="single" w:color="000000" w:sz="4" w:space="0"/>
            </w:tcBorders>
            <w:noWrap/>
            <w:vAlign w:val="center"/>
          </w:tcPr>
          <w:p w14:paraId="3D11FFC1">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油茶</w:t>
            </w:r>
          </w:p>
        </w:tc>
        <w:tc>
          <w:tcPr>
            <w:tcW w:w="2805" w:type="dxa"/>
            <w:tcBorders>
              <w:top w:val="single" w:color="000000" w:sz="4" w:space="0"/>
              <w:left w:val="single" w:color="000000" w:sz="4" w:space="0"/>
              <w:bottom w:val="single" w:color="000000" w:sz="4" w:space="0"/>
              <w:right w:val="single" w:color="000000" w:sz="4" w:space="0"/>
            </w:tcBorders>
            <w:noWrap/>
            <w:vAlign w:val="center"/>
          </w:tcPr>
          <w:p w14:paraId="627B72ED">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21.1</w:t>
            </w:r>
          </w:p>
        </w:tc>
      </w:tr>
      <w:tr w14:paraId="7EB9D7FF">
        <w:tblPrEx>
          <w:tblCellMar>
            <w:top w:w="0" w:type="dxa"/>
            <w:left w:w="108" w:type="dxa"/>
            <w:bottom w:w="0" w:type="dxa"/>
            <w:right w:w="108" w:type="dxa"/>
          </w:tblCellMar>
        </w:tblPrEx>
        <w:trPr>
          <w:trHeight w:val="457" w:hRule="atLeast"/>
          <w:jc w:val="center"/>
        </w:trPr>
        <w:tc>
          <w:tcPr>
            <w:tcW w:w="7096" w:type="dxa"/>
            <w:gridSpan w:val="3"/>
            <w:tcBorders>
              <w:top w:val="single" w:color="000000" w:sz="4" w:space="0"/>
              <w:left w:val="single" w:color="000000" w:sz="4" w:space="0"/>
              <w:bottom w:val="single" w:color="000000" w:sz="4" w:space="0"/>
              <w:right w:val="single" w:color="000000" w:sz="4" w:space="0"/>
            </w:tcBorders>
            <w:noWrap/>
            <w:vAlign w:val="center"/>
          </w:tcPr>
          <w:p w14:paraId="41B227CE">
            <w:pPr>
              <w:pStyle w:val="11"/>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textAlignment w:val="auto"/>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t>注：果树、林木等多年生作物为每年最大施用量。</w:t>
            </w:r>
          </w:p>
        </w:tc>
      </w:tr>
    </w:tbl>
    <w:p w14:paraId="3F744741">
      <w:pPr>
        <w:pStyle w:val="11"/>
        <w:rPr>
          <w:rFonts w:hint="eastAsia"/>
          <w:lang w:val="en-US" w:eastAsia="zh-CN"/>
        </w:rPr>
      </w:pPr>
    </w:p>
    <w:p w14:paraId="0B75068F">
      <w:pPr>
        <w:pStyle w:val="12"/>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560" w:lineRule="exact"/>
        <w:ind w:firstLine="643" w:firstLineChars="200"/>
        <w:textAlignment w:val="auto"/>
        <w:rPr>
          <w:rFonts w:hint="eastAsia" w:ascii="仿宋_GB2312" w:hAnsi="Times New Roman" w:eastAsia="仿宋_GB2312" w:cstheme="minorBidi"/>
          <w:color w:val="000000" w:themeColor="text1"/>
          <w:kern w:val="2"/>
          <w:sz w:val="28"/>
          <w:szCs w:val="28"/>
          <w:lang w:val="en-US" w:eastAsia="zh-CN" w:bidi="ar-SA"/>
          <w14:textFill>
            <w14:solidFill>
              <w14:schemeClr w14:val="tx1"/>
            </w14:solidFill>
          </w14:textFill>
        </w:rPr>
      </w:pPr>
      <w:r>
        <w:rPr>
          <w:rFonts w:hint="eastAsia" w:ascii="仿宋_GB2312" w:hAnsi="Times New Roman" w:eastAsia="仿宋_GB2312" w:cstheme="minorBidi"/>
          <w:b/>
          <w:bCs/>
          <w:color w:val="000000" w:themeColor="text1"/>
          <w:kern w:val="2"/>
          <w:sz w:val="32"/>
          <w:szCs w:val="32"/>
          <w:lang w:val="en-US" w:eastAsia="zh-CN" w:bidi="ar-SA"/>
          <w14:textFill>
            <w14:solidFill>
              <w14:schemeClr w14:val="tx1"/>
            </w14:solidFill>
          </w14:textFill>
        </w:rPr>
        <w:t>3.施用方法。</w:t>
      </w:r>
      <w:r>
        <w:rPr>
          <w:rFonts w:hint="eastAsia" w:ascii="仿宋_GB2312" w:hAnsi="Times New Roman" w:eastAsia="仿宋_GB2312" w:cstheme="minorBidi"/>
          <w:color w:val="000000" w:themeColor="text1"/>
          <w:kern w:val="2"/>
          <w:sz w:val="32"/>
          <w:szCs w:val="32"/>
          <w:lang w:val="en-US" w:eastAsia="zh-CN" w:bidi="ar-SA"/>
          <w14:textFill>
            <w14:solidFill>
              <w14:schemeClr w14:val="tx1"/>
            </w14:solidFill>
          </w14:textFill>
        </w:rPr>
        <w:t>采用管灌、滴灌、沟灌、注射式深施等方式施用，应符合GB/T 25246相关要求。</w:t>
      </w:r>
    </w:p>
    <w:p w14:paraId="4602612D">
      <w:pPr>
        <w:pStyle w:val="11"/>
        <w:ind w:left="0" w:leftChars="0" w:firstLine="0" w:firstLineChars="0"/>
        <w:rPr>
          <w:rFonts w:hint="eastAsia"/>
          <w:lang w:val="en-US" w:eastAsia="zh-CN"/>
        </w:rPr>
      </w:pPr>
      <w:r>
        <w:rPr>
          <w:rFonts w:hint="eastAsia"/>
          <w:lang w:val="en-US" w:eastAsia="zh-CN"/>
        </w:rPr>
        <w:drawing>
          <wp:inline distT="0" distB="0" distL="114300" distR="114300">
            <wp:extent cx="5255895" cy="2954655"/>
            <wp:effectExtent l="0" t="0" r="1905" b="17145"/>
            <wp:docPr id="7" name="图片 7" descr="猪-沼-果-草循环模式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猪-沼-果-草循环模式1"/>
                    <pic:cNvPicPr>
                      <a:picLocks noChangeAspect="1"/>
                    </pic:cNvPicPr>
                  </pic:nvPicPr>
                  <pic:blipFill>
                    <a:blip r:embed="rId9"/>
                    <a:stretch>
                      <a:fillRect/>
                    </a:stretch>
                  </pic:blipFill>
                  <pic:spPr>
                    <a:xfrm>
                      <a:off x="0" y="0"/>
                      <a:ext cx="5255895" cy="2954655"/>
                    </a:xfrm>
                    <a:prstGeom prst="rect">
                      <a:avLst/>
                    </a:prstGeom>
                  </pic:spPr>
                </pic:pic>
              </a:graphicData>
            </a:graphic>
          </wp:inline>
        </w:drawing>
      </w:r>
    </w:p>
    <w:p w14:paraId="295CE4A5">
      <w:pPr>
        <w:pStyle w:val="11"/>
        <w:ind w:left="0" w:leftChars="0" w:firstLine="0" w:firstLineChars="0"/>
        <w:jc w:val="center"/>
        <w:rPr>
          <w:rFonts w:hint="eastAsia"/>
          <w:sz w:val="24"/>
          <w:szCs w:val="24"/>
          <w:lang w:val="en-US" w:eastAsia="zh-CN"/>
        </w:rPr>
      </w:pPr>
      <w:r>
        <w:rPr>
          <w:rFonts w:hint="eastAsia"/>
          <w:sz w:val="24"/>
          <w:szCs w:val="24"/>
          <w:lang w:val="en-US" w:eastAsia="zh-CN"/>
        </w:rPr>
        <w:t>图5 粪污全量还田（猪粪污-果-草循环模式）</w:t>
      </w:r>
    </w:p>
    <w:p w14:paraId="573B19C6">
      <w:pPr>
        <w:pStyle w:val="11"/>
        <w:ind w:left="0" w:leftChars="0" w:firstLine="0" w:firstLineChars="0"/>
        <w:jc w:val="center"/>
        <w:rPr>
          <w:rFonts w:hint="eastAsia"/>
          <w:sz w:val="24"/>
          <w:szCs w:val="24"/>
          <w:lang w:val="en-US" w:eastAsia="zh-CN"/>
        </w:rPr>
      </w:pPr>
      <w:r>
        <w:rPr>
          <w:rFonts w:hint="eastAsia"/>
          <w:sz w:val="24"/>
          <w:szCs w:val="24"/>
          <w:lang w:val="en-US" w:eastAsia="zh-CN"/>
        </w:rPr>
        <w:drawing>
          <wp:inline distT="0" distB="0" distL="114300" distR="114300">
            <wp:extent cx="5255895" cy="3753485"/>
            <wp:effectExtent l="0" t="0" r="1905" b="18415"/>
            <wp:docPr id="2" name="图片 2" descr="图6-猪粪污-油茶模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6-猪粪污-油茶模式"/>
                    <pic:cNvPicPr>
                      <a:picLocks noChangeAspect="1"/>
                    </pic:cNvPicPr>
                  </pic:nvPicPr>
                  <pic:blipFill>
                    <a:blip r:embed="rId10"/>
                    <a:stretch>
                      <a:fillRect/>
                    </a:stretch>
                  </pic:blipFill>
                  <pic:spPr>
                    <a:xfrm>
                      <a:off x="0" y="0"/>
                      <a:ext cx="5255895" cy="3753485"/>
                    </a:xfrm>
                    <a:prstGeom prst="rect">
                      <a:avLst/>
                    </a:prstGeom>
                  </pic:spPr>
                </pic:pic>
              </a:graphicData>
            </a:graphic>
          </wp:inline>
        </w:drawing>
      </w:r>
    </w:p>
    <w:p w14:paraId="5CDD34D0">
      <w:pPr>
        <w:pStyle w:val="11"/>
        <w:ind w:left="0" w:leftChars="0" w:firstLine="0" w:firstLineChars="0"/>
        <w:jc w:val="center"/>
        <w:rPr>
          <w:rFonts w:hint="eastAsia"/>
          <w:sz w:val="24"/>
          <w:szCs w:val="24"/>
          <w:lang w:val="en-US" w:eastAsia="zh-CN"/>
        </w:rPr>
      </w:pPr>
      <w:r>
        <w:rPr>
          <w:rFonts w:hint="eastAsia"/>
          <w:sz w:val="24"/>
          <w:szCs w:val="24"/>
          <w:lang w:val="en-US" w:eastAsia="zh-CN"/>
        </w:rPr>
        <w:t>图6 粪污全量还田（猪粪污-油茶模式）</w:t>
      </w:r>
    </w:p>
    <w:p w14:paraId="47AB1864">
      <w:pPr>
        <w:keepNext w:val="0"/>
        <w:keepLines w:val="0"/>
        <w:pageBreakBefore w:val="0"/>
        <w:widowControl w:val="0"/>
        <w:kinsoku/>
        <w:wordWrap/>
        <w:overflowPunct/>
        <w:topLinePunct w:val="0"/>
        <w:autoSpaceDE/>
        <w:autoSpaceDN/>
        <w:bidi w:val="0"/>
        <w:adjustRightInd w:val="0"/>
        <w:snapToGrid/>
        <w:spacing w:line="560" w:lineRule="exact"/>
        <w:ind w:firstLine="640"/>
        <w:textAlignment w:val="auto"/>
        <w:rPr>
          <w:rFonts w:hint="eastAsia" w:ascii="仿宋_GB2312" w:hAnsi="Times New Roman" w:eastAsia="仿宋_GB2312"/>
          <w:color w:val="000000" w:themeColor="text1"/>
          <w:sz w:val="28"/>
          <w:szCs w:val="28"/>
          <w14:textFill>
            <w14:solidFill>
              <w14:schemeClr w14:val="tx1"/>
            </w14:solidFill>
          </w14:textFill>
        </w:rPr>
      </w:pPr>
      <w:r>
        <w:rPr>
          <w:rFonts w:ascii="Times New Roman" w:hAnsi="Times New Roman" w:eastAsia="黑体"/>
          <w:color w:val="000000" w:themeColor="text1"/>
          <w:sz w:val="32"/>
          <w:szCs w:val="32"/>
          <w14:textFill>
            <w14:solidFill>
              <w14:schemeClr w14:val="tx1"/>
            </w14:solidFill>
          </w14:textFill>
        </w:rPr>
        <w:t>三、适宜区域</w:t>
      </w:r>
    </w:p>
    <w:p w14:paraId="2CB2A64D">
      <w:pPr>
        <w:keepNext w:val="0"/>
        <w:keepLines w:val="0"/>
        <w:pageBreakBefore w:val="0"/>
        <w:widowControl w:val="0"/>
        <w:kinsoku/>
        <w:wordWrap/>
        <w:overflowPunct/>
        <w:topLinePunct w:val="0"/>
        <w:autoSpaceDE/>
        <w:autoSpaceDN/>
        <w:bidi w:val="0"/>
        <w:adjustRightInd w:val="0"/>
        <w:snapToGrid/>
        <w:spacing w:line="560" w:lineRule="exact"/>
        <w:ind w:firstLine="640"/>
        <w:textAlignment w:val="auto"/>
        <w:rPr>
          <w:rFonts w:ascii="Times New Roman" w:hAnsi="Times New Roman" w:eastAsia="黑体"/>
          <w:color w:val="000000" w:themeColor="text1"/>
          <w:sz w:val="32"/>
          <w:szCs w:val="32"/>
          <w14:textFill>
            <w14:solidFill>
              <w14:schemeClr w14:val="tx1"/>
            </w14:solidFill>
          </w14:textFill>
        </w:rPr>
      </w:pPr>
      <w:r>
        <w:rPr>
          <w:rFonts w:hint="eastAsia" w:ascii="仿宋_GB2312" w:hAnsi="Times New Roman" w:eastAsia="仿宋_GB2312"/>
          <w:color w:val="000000" w:themeColor="text1"/>
          <w:sz w:val="32"/>
          <w:szCs w:val="32"/>
          <w:lang w:eastAsia="zh-CN"/>
          <w14:textFill>
            <w14:solidFill>
              <w14:schemeClr w14:val="tx1"/>
            </w14:solidFill>
          </w14:textFill>
        </w:rPr>
        <w:t>全省适用。</w:t>
      </w:r>
    </w:p>
    <w:p w14:paraId="5CA2A6B9">
      <w:pPr>
        <w:keepNext w:val="0"/>
        <w:keepLines w:val="0"/>
        <w:pageBreakBefore w:val="0"/>
        <w:widowControl w:val="0"/>
        <w:kinsoku/>
        <w:wordWrap/>
        <w:overflowPunct/>
        <w:topLinePunct w:val="0"/>
        <w:autoSpaceDE/>
        <w:autoSpaceDN/>
        <w:bidi w:val="0"/>
        <w:adjustRightInd w:val="0"/>
        <w:snapToGrid/>
        <w:spacing w:line="560" w:lineRule="exact"/>
        <w:ind w:firstLine="640"/>
        <w:textAlignment w:val="auto"/>
        <w:rPr>
          <w:rFonts w:hint="eastAsia" w:ascii="仿宋_GB2312" w:hAnsi="Times New Roman" w:eastAsia="仿宋_GB2312"/>
          <w:color w:val="000000" w:themeColor="text1"/>
          <w:sz w:val="28"/>
          <w:szCs w:val="28"/>
          <w14:textFill>
            <w14:solidFill>
              <w14:schemeClr w14:val="tx1"/>
            </w14:solidFill>
          </w14:textFill>
        </w:rPr>
      </w:pPr>
      <w:r>
        <w:rPr>
          <w:rFonts w:ascii="Times New Roman" w:hAnsi="Times New Roman" w:eastAsia="黑体"/>
          <w:color w:val="000000" w:themeColor="text1"/>
          <w:sz w:val="32"/>
          <w:szCs w:val="32"/>
          <w14:textFill>
            <w14:solidFill>
              <w14:schemeClr w14:val="tx1"/>
            </w14:solidFill>
          </w14:textFill>
        </w:rPr>
        <w:t>四、注意事项</w:t>
      </w:r>
    </w:p>
    <w:p w14:paraId="16B05996">
      <w:pPr>
        <w:keepNext w:val="0"/>
        <w:keepLines w:val="0"/>
        <w:pageBreakBefore w:val="0"/>
        <w:widowControl w:val="0"/>
        <w:kinsoku/>
        <w:wordWrap/>
        <w:overflowPunct/>
        <w:topLinePunct w:val="0"/>
        <w:autoSpaceDE/>
        <w:autoSpaceDN/>
        <w:bidi w:val="0"/>
        <w:adjustRightInd w:val="0"/>
        <w:snapToGrid/>
        <w:spacing w:line="560" w:lineRule="exact"/>
        <w:ind w:firstLine="640"/>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color w:val="000000" w:themeColor="text1"/>
          <w:sz w:val="32"/>
          <w:szCs w:val="32"/>
          <w:lang w:eastAsia="zh-CN"/>
          <w14:textFill>
            <w14:solidFill>
              <w14:schemeClr w14:val="tx1"/>
            </w14:solidFill>
          </w14:textFill>
        </w:rPr>
        <w:t>无。</w:t>
      </w:r>
    </w:p>
    <w:p w14:paraId="66E2DD5F">
      <w:pPr>
        <w:keepNext w:val="0"/>
        <w:keepLines w:val="0"/>
        <w:pageBreakBefore w:val="0"/>
        <w:widowControl w:val="0"/>
        <w:kinsoku/>
        <w:wordWrap/>
        <w:overflowPunct/>
        <w:topLinePunct w:val="0"/>
        <w:autoSpaceDE/>
        <w:autoSpaceDN/>
        <w:bidi w:val="0"/>
        <w:snapToGrid/>
        <w:spacing w:line="560" w:lineRule="exact"/>
        <w:ind w:firstLine="640" w:firstLineChars="200"/>
        <w:textAlignment w:val="auto"/>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32"/>
          <w:szCs w:val="32"/>
          <w14:textFill>
            <w14:solidFill>
              <w14:schemeClr w14:val="tx1"/>
            </w14:solidFill>
          </w14:textFill>
        </w:rPr>
        <w:t>五、技术依托单位</w:t>
      </w:r>
    </w:p>
    <w:p w14:paraId="2853815F">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color w:val="000000" w:themeColor="text1"/>
          <w:sz w:val="32"/>
          <w:szCs w:val="32"/>
          <w:lang w:eastAsia="zh-CN"/>
          <w14:textFill>
            <w14:solidFill>
              <w14:schemeClr w14:val="tx1"/>
            </w14:solidFill>
          </w14:textFill>
        </w:rPr>
        <w:t>（一）江西省农业技术推广中心</w:t>
      </w:r>
    </w:p>
    <w:p w14:paraId="2696D6A8">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default"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联系地址：</w:t>
      </w:r>
      <w:r>
        <w:rPr>
          <w:rFonts w:hint="eastAsia" w:ascii="仿宋_GB2312" w:hAnsi="Times New Roman" w:eastAsia="仿宋_GB2312"/>
          <w:color w:val="000000" w:themeColor="text1"/>
          <w:sz w:val="32"/>
          <w:szCs w:val="32"/>
          <w:lang w:eastAsia="zh-CN"/>
          <w14:textFill>
            <w14:solidFill>
              <w14:schemeClr w14:val="tx1"/>
            </w14:solidFill>
          </w14:textFill>
        </w:rPr>
        <w:t>南昌市文教路</w:t>
      </w:r>
      <w:r>
        <w:rPr>
          <w:rFonts w:hint="eastAsia" w:ascii="仿宋_GB2312" w:hAnsi="Times New Roman" w:eastAsia="仿宋_GB2312"/>
          <w:color w:val="000000" w:themeColor="text1"/>
          <w:sz w:val="32"/>
          <w:szCs w:val="32"/>
          <w:lang w:val="en-US" w:eastAsia="zh-CN"/>
          <w14:textFill>
            <w14:solidFill>
              <w14:schemeClr w14:val="tx1"/>
            </w14:solidFill>
          </w14:textFill>
        </w:rPr>
        <w:t>359号农检大楼607室</w:t>
      </w:r>
    </w:p>
    <w:p w14:paraId="03B5A6E7">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default"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邮政编码：</w:t>
      </w:r>
      <w:r>
        <w:rPr>
          <w:rFonts w:hint="eastAsia" w:ascii="仿宋_GB2312" w:hAnsi="Times New Roman" w:eastAsia="仿宋_GB2312"/>
          <w:color w:val="000000" w:themeColor="text1"/>
          <w:sz w:val="32"/>
          <w:szCs w:val="32"/>
          <w:lang w:val="en-US" w:eastAsia="zh-CN"/>
          <w14:textFill>
            <w14:solidFill>
              <w14:schemeClr w14:val="tx1"/>
            </w14:solidFill>
          </w14:textFill>
        </w:rPr>
        <w:t>330046</w:t>
      </w:r>
    </w:p>
    <w:p w14:paraId="6AD0A469">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联 系 人：</w:t>
      </w:r>
      <w:r>
        <w:rPr>
          <w:rFonts w:hint="eastAsia" w:ascii="仿宋_GB2312" w:hAnsi="Times New Roman" w:eastAsia="仿宋_GB2312"/>
          <w:color w:val="000000" w:themeColor="text1"/>
          <w:sz w:val="32"/>
          <w:szCs w:val="32"/>
          <w:lang w:eastAsia="zh-CN"/>
          <w14:textFill>
            <w14:solidFill>
              <w14:schemeClr w14:val="tx1"/>
            </w14:solidFill>
          </w14:textFill>
        </w:rPr>
        <w:t>吴志坚</w:t>
      </w:r>
    </w:p>
    <w:p w14:paraId="61404EB2">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default"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联系电话：</w:t>
      </w:r>
      <w:r>
        <w:rPr>
          <w:rFonts w:hint="eastAsia" w:ascii="仿宋_GB2312" w:hAnsi="Times New Roman" w:eastAsia="仿宋_GB2312"/>
          <w:color w:val="000000" w:themeColor="text1"/>
          <w:sz w:val="32"/>
          <w:szCs w:val="32"/>
          <w:lang w:val="en-US" w:eastAsia="zh-CN"/>
          <w14:textFill>
            <w14:solidFill>
              <w14:schemeClr w14:val="tx1"/>
            </w14:solidFill>
          </w14:textFill>
        </w:rPr>
        <w:t>88508002</w:t>
      </w:r>
    </w:p>
    <w:p w14:paraId="0D1F70F2">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default" w:ascii="Times New Roman" w:hAnsi="Times New Roman" w:eastAsia="仿宋_GB2312" w:cs="Times New Roman"/>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电子邮箱：</w:t>
      </w:r>
      <w:r>
        <w:rPr>
          <w:rFonts w:hint="default" w:ascii="Times New Roman" w:hAnsi="Times New Roman" w:eastAsia="仿宋_GB2312" w:cs="Times New Roman"/>
          <w:color w:val="000000" w:themeColor="text1"/>
          <w:sz w:val="32"/>
          <w:szCs w:val="32"/>
          <w:lang w:val="en-US" w:eastAsia="zh-CN"/>
          <w14:textFill>
            <w14:solidFill>
              <w14:schemeClr w14:val="tx1"/>
            </w14:solidFill>
          </w14:textFill>
        </w:rPr>
        <w:fldChar w:fldCharType="begin"/>
      </w:r>
      <w:r>
        <w:rPr>
          <w:rFonts w:hint="default" w:ascii="Times New Roman" w:hAnsi="Times New Roman" w:eastAsia="仿宋_GB2312" w:cs="Times New Roman"/>
          <w:color w:val="000000" w:themeColor="text1"/>
          <w:sz w:val="32"/>
          <w:szCs w:val="32"/>
          <w:lang w:val="en-US" w:eastAsia="zh-CN"/>
          <w14:textFill>
            <w14:solidFill>
              <w14:schemeClr w14:val="tx1"/>
            </w14:solidFill>
          </w14:textFill>
        </w:rPr>
        <w:instrText xml:space="preserve"> HYPERLINK "mailto:wuwhm@163.com" </w:instrText>
      </w:r>
      <w:r>
        <w:rPr>
          <w:rFonts w:hint="default" w:ascii="Times New Roman" w:hAnsi="Times New Roman" w:eastAsia="仿宋_GB2312" w:cs="Times New Roman"/>
          <w:color w:val="000000" w:themeColor="text1"/>
          <w:sz w:val="32"/>
          <w:szCs w:val="32"/>
          <w:lang w:val="en-US" w:eastAsia="zh-CN"/>
          <w14:textFill>
            <w14:solidFill>
              <w14:schemeClr w14:val="tx1"/>
            </w14:solidFill>
          </w14:textFill>
        </w:rPr>
        <w:fldChar w:fldCharType="separate"/>
      </w:r>
      <w:r>
        <w:rPr>
          <w:rStyle w:val="8"/>
          <w:rFonts w:hint="default" w:ascii="Times New Roman" w:hAnsi="Times New Roman" w:eastAsia="仿宋_GB2312" w:cs="Times New Roman"/>
          <w:sz w:val="32"/>
          <w:szCs w:val="32"/>
          <w:lang w:val="en-US" w:eastAsia="zh-CN"/>
        </w:rPr>
        <w:t>wuwhm@163.com</w:t>
      </w:r>
      <w:r>
        <w:rPr>
          <w:rFonts w:hint="default" w:ascii="Times New Roman" w:hAnsi="Times New Roman" w:eastAsia="仿宋_GB2312" w:cs="Times New Roman"/>
          <w:color w:val="000000" w:themeColor="text1"/>
          <w:sz w:val="32"/>
          <w:szCs w:val="32"/>
          <w:lang w:val="en-US" w:eastAsia="zh-CN"/>
          <w14:textFill>
            <w14:solidFill>
              <w14:schemeClr w14:val="tx1"/>
            </w14:solidFill>
          </w14:textFill>
        </w:rPr>
        <w:fldChar w:fldCharType="end"/>
      </w:r>
    </w:p>
    <w:p w14:paraId="4AF14DE1">
      <w:pPr>
        <w:keepNext w:val="0"/>
        <w:keepLines w:val="0"/>
        <w:pageBreakBefore w:val="0"/>
        <w:widowControl w:val="0"/>
        <w:numPr>
          <w:ilvl w:val="0"/>
          <w:numId w:val="2"/>
        </w:numPr>
        <w:kinsoku/>
        <w:wordWrap/>
        <w:overflowPunct/>
        <w:topLinePunct w:val="0"/>
        <w:autoSpaceDE/>
        <w:autoSpaceDN/>
        <w:bidi w:val="0"/>
        <w:adjustRightInd w:val="0"/>
        <w:snapToGrid/>
        <w:spacing w:line="560" w:lineRule="exact"/>
        <w:ind w:firstLine="640" w:firstLineChars="200"/>
        <w:textAlignment w:val="auto"/>
        <w:rPr>
          <w:rFonts w:hint="eastAsia" w:ascii="Times New Roman" w:hAnsi="Times New Roman" w:eastAsia="仿宋_GB2312" w:cs="Times New Roman"/>
          <w:color w:val="000000" w:themeColor="text1"/>
          <w:sz w:val="32"/>
          <w:szCs w:val="32"/>
          <w:lang w:val="en-US" w:eastAsia="zh-CN"/>
          <w14:textFill>
            <w14:solidFill>
              <w14:schemeClr w14:val="tx1"/>
            </w14:solidFill>
          </w14:textFill>
        </w:rPr>
      </w:pPr>
      <w:r>
        <w:rPr>
          <w:rFonts w:hint="eastAsia" w:ascii="Times New Roman" w:hAnsi="Times New Roman" w:eastAsia="仿宋_GB2312" w:cs="Times New Roman"/>
          <w:color w:val="000000" w:themeColor="text1"/>
          <w:sz w:val="32"/>
          <w:szCs w:val="32"/>
          <w:lang w:val="en-US" w:eastAsia="zh-CN"/>
          <w14:textFill>
            <w14:solidFill>
              <w14:schemeClr w14:val="tx1"/>
            </w14:solidFill>
          </w14:textFill>
        </w:rPr>
        <w:t>赣州市畜牧业发展和动物疫病防控中心</w:t>
      </w:r>
    </w:p>
    <w:p w14:paraId="651B2C80">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default"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联系地址：</w:t>
      </w:r>
      <w:r>
        <w:rPr>
          <w:rFonts w:hint="eastAsia" w:ascii="仿宋_GB2312" w:hAnsi="Times New Roman" w:eastAsia="仿宋_GB2312"/>
          <w:color w:val="000000" w:themeColor="text1"/>
          <w:sz w:val="32"/>
          <w:szCs w:val="32"/>
          <w:lang w:eastAsia="zh-CN"/>
          <w14:textFill>
            <w14:solidFill>
              <w14:schemeClr w14:val="tx1"/>
            </w14:solidFill>
          </w14:textFill>
        </w:rPr>
        <w:t>赣州市章贡区章江北大道</w:t>
      </w:r>
      <w:r>
        <w:rPr>
          <w:rFonts w:hint="eastAsia" w:ascii="仿宋_GB2312" w:hAnsi="Times New Roman" w:eastAsia="仿宋_GB2312"/>
          <w:color w:val="000000" w:themeColor="text1"/>
          <w:sz w:val="32"/>
          <w:szCs w:val="32"/>
          <w:lang w:val="en-US" w:eastAsia="zh-CN"/>
          <w14:textFill>
            <w14:solidFill>
              <w14:schemeClr w14:val="tx1"/>
            </w14:solidFill>
          </w14:textFill>
        </w:rPr>
        <w:t>110号</w:t>
      </w:r>
    </w:p>
    <w:p w14:paraId="3DFED487">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default" w:ascii="仿宋_GB2312" w:hAnsi="Times New Roman" w:eastAsia="仿宋_GB2312"/>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邮政编码：</w:t>
      </w:r>
      <w:r>
        <w:rPr>
          <w:rFonts w:hint="eastAsia" w:ascii="仿宋_GB2312" w:hAnsi="Times New Roman" w:eastAsia="仿宋_GB2312"/>
          <w:color w:val="000000" w:themeColor="text1"/>
          <w:sz w:val="32"/>
          <w:szCs w:val="32"/>
          <w:lang w:val="en-US" w:eastAsia="zh-CN"/>
          <w14:textFill>
            <w14:solidFill>
              <w14:schemeClr w14:val="tx1"/>
            </w14:solidFill>
          </w14:textFill>
        </w:rPr>
        <w:t>341000</w:t>
      </w:r>
    </w:p>
    <w:p w14:paraId="3C3DEE23">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联 系 人：</w:t>
      </w:r>
      <w:r>
        <w:rPr>
          <w:rFonts w:hint="eastAsia" w:ascii="仿宋_GB2312" w:hAnsi="Times New Roman" w:eastAsia="仿宋_GB2312"/>
          <w:color w:val="000000" w:themeColor="text1"/>
          <w:sz w:val="32"/>
          <w:szCs w:val="32"/>
          <w:lang w:val="en-US" w:eastAsia="zh-CN"/>
          <w14:textFill>
            <w14:solidFill>
              <w14:schemeClr w14:val="tx1"/>
            </w14:solidFill>
          </w14:textFill>
        </w:rPr>
        <w:t>郭海宁</w:t>
      </w:r>
    </w:p>
    <w:p w14:paraId="3A6F781E">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eastAsia" w:ascii="仿宋_GB2312" w:hAnsi="Times New Roman" w:eastAsia="仿宋_GB2312"/>
          <w:color w:val="000000" w:themeColor="text1"/>
          <w:sz w:val="32"/>
          <w:szCs w:val="32"/>
          <w:lang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联系电话：</w:t>
      </w:r>
      <w:r>
        <w:rPr>
          <w:rFonts w:hint="eastAsia" w:ascii="仿宋_GB2312" w:hAnsi="Times New Roman" w:eastAsia="仿宋_GB2312"/>
          <w:color w:val="000000" w:themeColor="text1"/>
          <w:sz w:val="32"/>
          <w:szCs w:val="32"/>
          <w:lang w:val="en-US" w:eastAsia="zh-CN"/>
          <w14:textFill>
            <w14:solidFill>
              <w14:schemeClr w14:val="tx1"/>
            </w14:solidFill>
          </w14:textFill>
        </w:rPr>
        <w:t>18770044726</w:t>
      </w:r>
    </w:p>
    <w:p w14:paraId="679F15A6">
      <w:pPr>
        <w:keepNext w:val="0"/>
        <w:keepLines w:val="0"/>
        <w:pageBreakBefore w:val="0"/>
        <w:widowControl w:val="0"/>
        <w:kinsoku/>
        <w:wordWrap/>
        <w:overflowPunct/>
        <w:topLinePunct w:val="0"/>
        <w:autoSpaceDE/>
        <w:autoSpaceDN/>
        <w:bidi w:val="0"/>
        <w:adjustRightInd w:val="0"/>
        <w:snapToGrid/>
        <w:spacing w:line="560" w:lineRule="exact"/>
        <w:ind w:firstLine="640" w:firstLineChars="200"/>
        <w:textAlignment w:val="auto"/>
        <w:rPr>
          <w:rFonts w:hint="default" w:ascii="Times New Roman" w:hAnsi="Times New Roman" w:eastAsia="仿宋_GB2312" w:cs="Times New Roman"/>
          <w:color w:val="000000" w:themeColor="text1"/>
          <w:sz w:val="32"/>
          <w:szCs w:val="32"/>
          <w:lang w:val="en-US" w:eastAsia="zh-CN"/>
          <w14:textFill>
            <w14:solidFill>
              <w14:schemeClr w14:val="tx1"/>
            </w14:solidFill>
          </w14:textFill>
        </w:rPr>
      </w:pPr>
      <w:r>
        <w:rPr>
          <w:rFonts w:hint="eastAsia" w:ascii="仿宋_GB2312" w:hAnsi="Times New Roman" w:eastAsia="仿宋_GB2312"/>
          <w:color w:val="000000" w:themeColor="text1"/>
          <w:sz w:val="32"/>
          <w:szCs w:val="32"/>
          <w14:textFill>
            <w14:solidFill>
              <w14:schemeClr w14:val="tx1"/>
            </w14:solidFill>
          </w14:textFill>
        </w:rPr>
        <w:t>电子邮箱：465440658@qq.com</w:t>
      </w:r>
    </w:p>
    <w:p w14:paraId="0084A1EB">
      <w:pPr>
        <w:keepNext w:val="0"/>
        <w:keepLines w:val="0"/>
        <w:pageBreakBefore w:val="0"/>
        <w:widowControl w:val="0"/>
        <w:numPr>
          <w:ilvl w:val="0"/>
          <w:numId w:val="0"/>
        </w:numPr>
        <w:kinsoku/>
        <w:wordWrap/>
        <w:overflowPunct/>
        <w:topLinePunct w:val="0"/>
        <w:autoSpaceDE/>
        <w:autoSpaceDN/>
        <w:bidi w:val="0"/>
        <w:adjustRightInd w:val="0"/>
        <w:snapToGrid/>
        <w:spacing w:line="560" w:lineRule="exact"/>
        <w:textAlignment w:val="auto"/>
        <w:rPr>
          <w:rFonts w:hint="default" w:ascii="Times New Roman" w:hAnsi="Times New Roman" w:eastAsia="仿宋_GB2312" w:cs="Times New Roman"/>
          <w:color w:val="000000" w:themeColor="text1"/>
          <w:sz w:val="32"/>
          <w:szCs w:val="32"/>
          <w:lang w:val="en-US" w:eastAsia="zh-CN"/>
          <w14:textFill>
            <w14:solidFill>
              <w14:schemeClr w14:val="tx1"/>
            </w14:solidFill>
          </w14:textFill>
        </w:rPr>
      </w:pPr>
    </w:p>
    <w:sectPr>
      <w:footerReference r:id="rId3" w:type="default"/>
      <w:pgSz w:w="11906" w:h="16838"/>
      <w:pgMar w:top="1440" w:right="1800" w:bottom="1440" w:left="1800"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楷体">
    <w:panose1 w:val="02010609060101010101"/>
    <w:charset w:val="86"/>
    <w:family w:val="modern"/>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99ABCF">
    <w:pPr>
      <w:pStyle w:val="3"/>
      <w:jc w:val="center"/>
      <w:rPr>
        <w:rFonts w:ascii="Times New Roman" w:hAnsi="Times New Roman" w:cs="Times New Roman"/>
      </w:rPr>
    </w:pPr>
    <w:r>
      <mc:AlternateContent>
        <mc:Choice Requires="wps">
          <w:drawing>
            <wp:anchor distT="0" distB="0" distL="114300" distR="114300" simplePos="0" relativeHeight="251659264" behindDoc="0" locked="0" layoutInCell="1" allowOverlap="1">
              <wp:simplePos x="0" y="0"/>
              <wp:positionH relativeFrom="margin">
                <wp:posOffset>2574290</wp:posOffset>
              </wp:positionH>
              <wp:positionV relativeFrom="paragraph">
                <wp:posOffset>-1270</wp:posOffset>
              </wp:positionV>
              <wp:extent cx="192405" cy="128270"/>
              <wp:effectExtent l="0" t="0" r="0" b="5080"/>
              <wp:wrapNone/>
              <wp:docPr id="1" name="文本框 1"/>
              <wp:cNvGraphicFramePr/>
              <a:graphic xmlns:a="http://schemas.openxmlformats.org/drawingml/2006/main">
                <a:graphicData uri="http://schemas.microsoft.com/office/word/2010/wordprocessingShape">
                  <wps:wsp>
                    <wps:cNvSpPr txBox="1"/>
                    <wps:spPr>
                      <a:xfrm>
                        <a:off x="0" y="0"/>
                        <a:ext cx="192505" cy="12833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92E0AE">
                          <w:pPr>
                            <w:pStyle w:val="3"/>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5</w:t>
                          </w:r>
                          <w:r>
                            <w:rPr>
                              <w:rFonts w:ascii="Times New Roman" w:hAnsi="Times New Roman" w:cs="Times New Roman"/>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02.7pt;margin-top:-0.1pt;height:10.1pt;width:15.15pt;mso-position-horizontal-relative:margin;z-index:251659264;mso-width-relative:page;mso-height-relative:page;" filled="f" stroked="f" coordsize="21600,21600" o:gfxdata="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0kJK1wAAAAgBAAAPAAAAAAAAAAEAIAAAACIAAABkcnMvZG93bnJldi54bWxQ&#10;SwECFAAUAAAACACHTuJAlokLljECAABVBAAADgAAAAAAAAABACAAAAAmAQAAZHJzL2Uyb0RvYy54&#10;bWxQSwUGAAAAAAYABgBZAQAAyQUAAAAA&#10;">
              <v:fill on="f" focussize="0,0"/>
              <v:stroke on="f" weight="0.5pt"/>
              <v:imagedata o:title=""/>
              <o:lock v:ext="edit" aspectratio="f"/>
              <v:textbox inset="0mm,0mm,0mm,0mm">
                <w:txbxContent>
                  <w:p w14:paraId="6592E0AE">
                    <w:pPr>
                      <w:pStyle w:val="3"/>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5</w:t>
                    </w:r>
                    <w:r>
                      <w:rPr>
                        <w:rFonts w:ascii="Times New Roman" w:hAnsi="Times New Roman" w:cs="Times New Roman"/>
                      </w:rPr>
                      <w:fldChar w:fldCharType="end"/>
                    </w:r>
                  </w:p>
                </w:txbxContent>
              </v:textbox>
            </v:shape>
          </w:pict>
        </mc:Fallback>
      </mc:AlternateContent>
    </w:r>
    <w:sdt>
      <w:sdtPr>
        <w:id w:val="1098292654"/>
        <w:showingPlcHdr/>
      </w:sdtPr>
      <w:sdtEndPr>
        <w:rPr>
          <w:rFonts w:ascii="Times New Roman" w:hAnsi="Times New Roman" w:cs="Times New Roman"/>
        </w:rPr>
      </w:sdtEndPr>
      <w:sdtContent>
        <w:r>
          <w:t xml:space="preserve">     </w:t>
        </w:r>
      </w:sdtContent>
    </w:sdt>
  </w:p>
  <w:p w14:paraId="7260E635">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E4231D"/>
    <w:multiLevelType w:val="singleLevel"/>
    <w:tmpl w:val="C4E4231D"/>
    <w:lvl w:ilvl="0" w:tentative="0">
      <w:start w:val="2"/>
      <w:numFmt w:val="chineseCounting"/>
      <w:suff w:val="nothing"/>
      <w:lvlText w:val="（%1）"/>
      <w:lvlJc w:val="left"/>
      <w:rPr>
        <w:rFonts w:hint="eastAsia"/>
      </w:rPr>
    </w:lvl>
  </w:abstractNum>
  <w:abstractNum w:abstractNumId="1">
    <w:nsid w:val="1FC91163"/>
    <w:multiLevelType w:val="multilevel"/>
    <w:tmpl w:val="1FC91163"/>
    <w:lvl w:ilvl="0" w:tentative="0">
      <w:start w:val="1"/>
      <w:numFmt w:val="decimal"/>
      <w:pStyle w:val="12"/>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315"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QxYjE0NTEyODZiNDMxNjY3MGVlYjA1MmRjOTk4MjEifQ=="/>
  </w:docVars>
  <w:rsids>
    <w:rsidRoot w:val="003C536F"/>
    <w:rsid w:val="000C1AD4"/>
    <w:rsid w:val="00252342"/>
    <w:rsid w:val="00333E9D"/>
    <w:rsid w:val="003C536F"/>
    <w:rsid w:val="00415A12"/>
    <w:rsid w:val="0045517F"/>
    <w:rsid w:val="004B00CC"/>
    <w:rsid w:val="010F7FF3"/>
    <w:rsid w:val="013712F7"/>
    <w:rsid w:val="03A93ABE"/>
    <w:rsid w:val="11275EF3"/>
    <w:rsid w:val="132D60B6"/>
    <w:rsid w:val="179F5F07"/>
    <w:rsid w:val="183A374F"/>
    <w:rsid w:val="1B666609"/>
    <w:rsid w:val="1FA34CB2"/>
    <w:rsid w:val="207D067D"/>
    <w:rsid w:val="22AD612E"/>
    <w:rsid w:val="22B8169F"/>
    <w:rsid w:val="22EC1C03"/>
    <w:rsid w:val="23A81EB5"/>
    <w:rsid w:val="250F1A33"/>
    <w:rsid w:val="25A466AC"/>
    <w:rsid w:val="26451B58"/>
    <w:rsid w:val="2CB371D5"/>
    <w:rsid w:val="2FF41FDE"/>
    <w:rsid w:val="3E151A9D"/>
    <w:rsid w:val="42084E57"/>
    <w:rsid w:val="452A2D94"/>
    <w:rsid w:val="4580177B"/>
    <w:rsid w:val="487877F8"/>
    <w:rsid w:val="49060BED"/>
    <w:rsid w:val="49170DBF"/>
    <w:rsid w:val="4A5F5A11"/>
    <w:rsid w:val="4B3A0D95"/>
    <w:rsid w:val="52EC6E19"/>
    <w:rsid w:val="572A6725"/>
    <w:rsid w:val="577E5D03"/>
    <w:rsid w:val="5877347D"/>
    <w:rsid w:val="596B63F7"/>
    <w:rsid w:val="61891CD7"/>
    <w:rsid w:val="6611453D"/>
    <w:rsid w:val="710E0E18"/>
    <w:rsid w:val="71A768D5"/>
    <w:rsid w:val="752D5AC0"/>
    <w:rsid w:val="752E2E69"/>
    <w:rsid w:val="7D8933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Hyperlink"/>
    <w:basedOn w:val="7"/>
    <w:semiHidden/>
    <w:unhideWhenUsed/>
    <w:qFormat/>
    <w:uiPriority w:val="99"/>
    <w:rPr>
      <w:color w:val="0000FF"/>
      <w:u w:val="single"/>
    </w:rPr>
  </w:style>
  <w:style w:type="character" w:customStyle="1" w:styleId="9">
    <w:name w:val="页眉 字符"/>
    <w:basedOn w:val="7"/>
    <w:link w:val="4"/>
    <w:qFormat/>
    <w:uiPriority w:val="99"/>
    <w:rPr>
      <w:sz w:val="18"/>
      <w:szCs w:val="18"/>
    </w:rPr>
  </w:style>
  <w:style w:type="character" w:customStyle="1" w:styleId="10">
    <w:name w:val="页脚 字符"/>
    <w:basedOn w:val="7"/>
    <w:link w:val="3"/>
    <w:qFormat/>
    <w:uiPriority w:val="99"/>
    <w:rPr>
      <w:sz w:val="18"/>
      <w:szCs w:val="18"/>
    </w:rPr>
  </w:style>
  <w:style w:type="paragraph" w:customStyle="1" w:styleId="11">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2">
    <w:name w:val="章标题"/>
    <w:next w:val="11"/>
    <w:qFormat/>
    <w:uiPriority w:val="0"/>
    <w:pPr>
      <w:numPr>
        <w:ilvl w:val="0"/>
        <w:numId w:val="1"/>
      </w:numPr>
      <w:spacing w:before="312" w:beforeLines="100" w:after="312" w:afterLines="100"/>
      <w:jc w:val="both"/>
      <w:outlineLvl w:val="1"/>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3163</Words>
  <Characters>3534</Characters>
  <Lines>4</Lines>
  <Paragraphs>1</Paragraphs>
  <TotalTime>7</TotalTime>
  <ScaleCrop>false</ScaleCrop>
  <LinksUpToDate>false</LinksUpToDate>
  <CharactersWithSpaces>3721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2024-09-29T06:26:00Z</dcterms:created>
  <dc:creator>A4883</dc:creator>
  <cp:lastModifiedBy>๛</cp:lastModifiedBy>
  <dcterms:modified xsi:type="dcterms:W3CDTF">2026-04-03T02:49:55Z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C464E9F9222545F0B1FFD132EB904544_13</vt:lpwstr>
  </property>
  <property fmtid="{D5CDD505-2E9C-101B-9397-08002B2CF9AE}" pid="4" name="KSOTemplateDocerSaveRecord">
    <vt:lpwstr>eyJoZGlkIjoiMDEzMjAzNmNkODk4NjhlOGJiZGM4NmM2ZDQ5MjlhYjgiLCJ1c2VySWQiOiI1MTg1MjExNjkifQ==</vt:lpwstr>
  </property>
</Properties>
</file>