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02B73">
      <w:pPr>
        <w:keepNext w:val="0"/>
        <w:keepLines w:val="0"/>
        <w:pageBreakBefore w:val="0"/>
        <w:kinsoku/>
        <w:wordWrap/>
        <w:overflowPunct/>
        <w:topLinePunct w:val="0"/>
        <w:autoSpaceDE/>
        <w:autoSpaceDN/>
        <w:bidi w:val="0"/>
        <w:adjustRightInd/>
        <w:snapToGrid w:val="0"/>
        <w:spacing w:line="560" w:lineRule="exact"/>
        <w:jc w:val="center"/>
        <w:rPr>
          <w:rFonts w:hint="eastAsia" w:ascii="方正大标宋简体" w:hAnsi="方正大标宋简体" w:eastAsia="方正大标宋简体" w:cs="方正大标宋简体"/>
          <w:sz w:val="44"/>
          <w:szCs w:val="44"/>
        </w:rPr>
      </w:pPr>
    </w:p>
    <w:p w14:paraId="2C1B3126">
      <w:pPr>
        <w:keepNext w:val="0"/>
        <w:keepLines w:val="0"/>
        <w:pageBreakBefore w:val="0"/>
        <w:kinsoku/>
        <w:wordWrap/>
        <w:overflowPunct/>
        <w:topLinePunct w:val="0"/>
        <w:autoSpaceDE/>
        <w:autoSpaceDN/>
        <w:bidi w:val="0"/>
        <w:adjustRightInd/>
        <w:snapToGrid w:val="0"/>
        <w:spacing w:line="560" w:lineRule="exact"/>
        <w:jc w:val="center"/>
        <w:rPr>
          <w:rFonts w:hint="eastAsia" w:ascii="方正小标宋简体" w:hAnsi="方正小标宋简体" w:eastAsia="方正小标宋简体" w:cs="方正小标宋简体"/>
          <w:b w:val="0"/>
          <w:bCs w:val="0"/>
          <w:i w:val="0"/>
          <w:caps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caps w:val="0"/>
          <w:color w:val="auto"/>
          <w:spacing w:val="0"/>
          <w:kern w:val="0"/>
          <w:sz w:val="44"/>
          <w:szCs w:val="44"/>
          <w:shd w:val="clear" w:color="auto" w:fill="FFFFFF"/>
          <w:lang w:val="en-US" w:eastAsia="zh-CN" w:bidi="ar"/>
        </w:rPr>
        <w:t>审计局2024年度部门整体支出</w:t>
      </w:r>
    </w:p>
    <w:p w14:paraId="15DBB36E">
      <w:pPr>
        <w:keepNext w:val="0"/>
        <w:keepLines w:val="0"/>
        <w:pageBreakBefore w:val="0"/>
        <w:kinsoku/>
        <w:wordWrap/>
        <w:overflowPunct/>
        <w:topLinePunct w:val="0"/>
        <w:autoSpaceDE/>
        <w:autoSpaceDN/>
        <w:bidi w:val="0"/>
        <w:adjustRightInd/>
        <w:snapToGrid w:val="0"/>
        <w:spacing w:line="560" w:lineRule="exact"/>
        <w:jc w:val="center"/>
        <w:rPr>
          <w:rFonts w:hint="eastAsia" w:ascii="方正大标宋简体" w:hAnsi="方正大标宋简体" w:eastAsia="方正大标宋简体" w:cs="方正大标宋简体"/>
          <w:sz w:val="44"/>
          <w:szCs w:val="44"/>
          <w:lang w:eastAsia="zh-CN"/>
        </w:rPr>
      </w:pPr>
      <w:r>
        <w:rPr>
          <w:rFonts w:hint="eastAsia" w:ascii="方正小标宋简体" w:hAnsi="方正小标宋简体" w:eastAsia="方正小标宋简体" w:cs="方正小标宋简体"/>
          <w:b w:val="0"/>
          <w:bCs w:val="0"/>
          <w:i w:val="0"/>
          <w:caps w:val="0"/>
          <w:color w:val="auto"/>
          <w:spacing w:val="0"/>
          <w:kern w:val="0"/>
          <w:sz w:val="44"/>
          <w:szCs w:val="44"/>
          <w:shd w:val="clear" w:color="auto" w:fill="FFFFFF"/>
          <w:lang w:val="en-US" w:eastAsia="zh-CN" w:bidi="ar"/>
        </w:rPr>
        <w:t>绩效自评报告</w:t>
      </w:r>
    </w:p>
    <w:p w14:paraId="3B2949DD">
      <w:pPr>
        <w:keepNext w:val="0"/>
        <w:keepLines w:val="0"/>
        <w:pageBreakBefore w:val="0"/>
        <w:kinsoku/>
        <w:wordWrap/>
        <w:overflowPunct/>
        <w:topLinePunct w:val="0"/>
        <w:autoSpaceDE/>
        <w:autoSpaceDN/>
        <w:bidi w:val="0"/>
        <w:adjustRightInd/>
        <w:snapToGrid w:val="0"/>
        <w:spacing w:line="560" w:lineRule="exact"/>
        <w:jc w:val="center"/>
        <w:rPr>
          <w:rFonts w:ascii="华文中宋" w:hAnsi="华文中宋" w:eastAsia="华文中宋"/>
          <w:sz w:val="36"/>
          <w:szCs w:val="36"/>
        </w:rPr>
      </w:pPr>
    </w:p>
    <w:p w14:paraId="092CDC8E">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ascii="黑体" w:hAnsi="黑体" w:eastAsia="黑体"/>
          <w:sz w:val="32"/>
          <w:szCs w:val="32"/>
        </w:rPr>
      </w:pPr>
      <w:bookmarkStart w:id="0" w:name="YS060101"/>
      <w:r>
        <w:rPr>
          <w:rFonts w:hint="eastAsia" w:ascii="黑体" w:hAnsi="黑体" w:eastAsia="黑体"/>
          <w:sz w:val="32"/>
          <w:szCs w:val="32"/>
        </w:rPr>
        <w:t>一、部门情况</w:t>
      </w:r>
    </w:p>
    <w:bookmarkEnd w:id="0"/>
    <w:p w14:paraId="2AE6D0C7">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楷体_GB2312" w:hAnsi="仿宋" w:eastAsia="楷体_GB2312"/>
          <w:b w:val="0"/>
          <w:bCs/>
          <w:sz w:val="32"/>
          <w:szCs w:val="32"/>
        </w:rPr>
      </w:pPr>
      <w:r>
        <w:rPr>
          <w:rFonts w:hint="eastAsia" w:ascii="楷体_GB2312" w:hAnsi="仿宋" w:eastAsia="楷体_GB2312"/>
          <w:b w:val="0"/>
          <w:bCs/>
          <w:sz w:val="32"/>
          <w:szCs w:val="32"/>
        </w:rPr>
        <w:t>（一）基本情况</w:t>
      </w:r>
    </w:p>
    <w:p w14:paraId="084F6C0B">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FangSong_GB2312" w:hAnsi="仿宋" w:eastAsia="FangSong_GB2312"/>
          <w:sz w:val="32"/>
          <w:szCs w:val="32"/>
          <w:lang w:eastAsia="zh-CN"/>
        </w:rPr>
      </w:pPr>
      <w:r>
        <w:rPr>
          <w:rFonts w:hint="eastAsia" w:ascii="FangSong_GB2312" w:hAnsi="仿宋" w:eastAsia="FangSong_GB2312"/>
          <w:sz w:val="32"/>
          <w:szCs w:val="32"/>
        </w:rPr>
        <w:t>1．</w:t>
      </w:r>
      <w:r>
        <w:rPr>
          <w:rFonts w:hint="eastAsia" w:ascii="FangSong_GB2312" w:hAnsi="仿宋" w:eastAsia="FangSong_GB2312" w:cs="Times New Roman"/>
          <w:sz w:val="32"/>
          <w:szCs w:val="32"/>
          <w:lang w:eastAsia="zh-CN"/>
        </w:rPr>
        <w:t>主要职能</w:t>
      </w:r>
    </w:p>
    <w:p w14:paraId="43F09D5B">
      <w:pPr>
        <w:keepNext w:val="0"/>
        <w:keepLines w:val="0"/>
        <w:pageBreakBefore w:val="0"/>
        <w:kinsoku/>
        <w:wordWrap/>
        <w:overflowPunct/>
        <w:topLinePunct w:val="0"/>
        <w:autoSpaceDE/>
        <w:autoSpaceDN/>
        <w:bidi w:val="0"/>
        <w:adjustRightInd/>
        <w:snapToGrid w:val="0"/>
        <w:spacing w:line="560" w:lineRule="exact"/>
        <w:ind w:firstLine="600" w:firstLineChars="200"/>
        <w:jc w:val="left"/>
        <w:rPr>
          <w:rFonts w:ascii="微软雅黑" w:hAnsi="微软雅黑" w:eastAsia="微软雅黑" w:cs="微软雅黑"/>
          <w:i w:val="0"/>
          <w:iCs w:val="0"/>
          <w:caps w:val="0"/>
          <w:color w:val="333333"/>
          <w:spacing w:val="0"/>
          <w:sz w:val="30"/>
          <w:szCs w:val="30"/>
        </w:rPr>
      </w:pPr>
      <w:r>
        <w:rPr>
          <w:rFonts w:ascii="FangSong_GB2312" w:hAnsi="微软雅黑" w:eastAsia="FangSong_GB2312" w:cs="FangSong_GB2312"/>
          <w:i w:val="0"/>
          <w:iCs w:val="0"/>
          <w:caps w:val="0"/>
          <w:color w:val="333333"/>
          <w:spacing w:val="0"/>
          <w:sz w:val="30"/>
          <w:szCs w:val="30"/>
          <w:shd w:val="clear" w:color="auto" w:fill="FFFFFF"/>
        </w:rPr>
        <w:t>（</w:t>
      </w:r>
      <w:r>
        <w:rPr>
          <w:rFonts w:hint="eastAsia" w:ascii="FangSong_GB2312" w:hAnsi="微软雅黑" w:eastAsia="FangSong_GB2312" w:cs="FangSong_GB2312"/>
          <w:i w:val="0"/>
          <w:iCs w:val="0"/>
          <w:caps w:val="0"/>
          <w:color w:val="333333"/>
          <w:spacing w:val="0"/>
          <w:sz w:val="30"/>
          <w:szCs w:val="30"/>
          <w:shd w:val="clear" w:color="auto" w:fill="FFFFFF"/>
          <w:lang w:val="en-US" w:eastAsia="zh-CN"/>
        </w:rPr>
        <w:t>1</w:t>
      </w:r>
      <w:r>
        <w:rPr>
          <w:rFonts w:ascii="FangSong_GB2312" w:hAnsi="微软雅黑" w:eastAsia="FangSong_GB2312" w:cs="FangSong_GB2312"/>
          <w:i w:val="0"/>
          <w:iCs w:val="0"/>
          <w:caps w:val="0"/>
          <w:color w:val="333333"/>
          <w:spacing w:val="0"/>
          <w:sz w:val="30"/>
          <w:szCs w:val="30"/>
          <w:shd w:val="clear" w:color="auto" w:fill="FFFFFF"/>
        </w:rPr>
        <w:t>）主管全市审计工作。负责对全市财政收支和法律法规规定属于审计监察范围的财务收支的真实、合法和效益进行审计监督，维护全市财政经济秩序，提高财政资金使用效益，促进廉政建设，保障全市国民经济和社会健康发展。对审计、专项审计调查和核查社会审计机构相关审计报告的结果承担责任，并负有督促被审计单位整改的责任。</w:t>
      </w:r>
    </w:p>
    <w:p w14:paraId="1F444B2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225" w:beforeAutospacing="0" w:after="0" w:afterAutospacing="0" w:line="560" w:lineRule="exact"/>
        <w:ind w:left="0" w:right="0" w:firstLine="630"/>
        <w:jc w:val="left"/>
        <w:rPr>
          <w:rFonts w:hint="eastAsia" w:ascii="微软雅黑" w:hAnsi="微软雅黑" w:eastAsia="微软雅黑" w:cs="微软雅黑"/>
          <w:i w:val="0"/>
          <w:iCs w:val="0"/>
          <w:caps w:val="0"/>
          <w:color w:val="333333"/>
          <w:spacing w:val="0"/>
          <w:sz w:val="30"/>
          <w:szCs w:val="30"/>
        </w:rPr>
      </w:pPr>
      <w:r>
        <w:rPr>
          <w:rFonts w:hint="eastAsia" w:ascii="FangSong_GB2312" w:hAnsi="微软雅黑" w:eastAsia="FangSong_GB2312" w:cs="FangSong_GB2312"/>
          <w:i w:val="0"/>
          <w:iCs w:val="0"/>
          <w:caps w:val="0"/>
          <w:color w:val="333333"/>
          <w:spacing w:val="0"/>
          <w:sz w:val="30"/>
          <w:szCs w:val="30"/>
          <w:shd w:val="clear" w:color="auto" w:fill="FFFFFF"/>
        </w:rPr>
        <w:t>（</w:t>
      </w:r>
      <w:r>
        <w:rPr>
          <w:rFonts w:hint="eastAsia" w:ascii="FangSong_GB2312" w:hAnsi="微软雅黑" w:eastAsia="FangSong_GB2312" w:cs="FangSong_GB2312"/>
          <w:i w:val="0"/>
          <w:iCs w:val="0"/>
          <w:caps w:val="0"/>
          <w:color w:val="333333"/>
          <w:spacing w:val="0"/>
          <w:sz w:val="30"/>
          <w:szCs w:val="30"/>
          <w:shd w:val="clear" w:color="auto" w:fill="FFFFFF"/>
          <w:lang w:val="en-US" w:eastAsia="zh-CN"/>
        </w:rPr>
        <w:t>2</w:t>
      </w:r>
      <w:r>
        <w:rPr>
          <w:rFonts w:hint="eastAsia" w:ascii="FangSong_GB2312" w:hAnsi="微软雅黑" w:eastAsia="FangSong_GB2312" w:cs="FangSong_GB2312"/>
          <w:i w:val="0"/>
          <w:iCs w:val="0"/>
          <w:caps w:val="0"/>
          <w:color w:val="333333"/>
          <w:spacing w:val="0"/>
          <w:sz w:val="30"/>
          <w:szCs w:val="30"/>
          <w:shd w:val="clear" w:color="auto" w:fill="FFFFFF"/>
        </w:rPr>
        <w:t>）贯彻执行国家、上级审计工作的法律、法规和方针政策；参与制定全市审计规范性文件和审计规章制度并监督执行；制定并组织实施全市审计工作发展规划及年度审计计划。参与起草全市地方性财政、经济及相关的规范性文件。对直接审计、调查和核查的事项依法进行审计评价，作出审计决定或提出审计建议。领导和协调相关的审计业务工作。</w:t>
      </w:r>
    </w:p>
    <w:p w14:paraId="644B389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225" w:beforeAutospacing="0" w:after="0" w:afterAutospacing="0" w:line="560" w:lineRule="exact"/>
        <w:ind w:left="0" w:right="0" w:firstLine="630"/>
        <w:jc w:val="left"/>
        <w:rPr>
          <w:rFonts w:hint="eastAsia" w:ascii="微软雅黑" w:hAnsi="微软雅黑" w:eastAsia="微软雅黑" w:cs="微软雅黑"/>
          <w:i w:val="0"/>
          <w:iCs w:val="0"/>
          <w:caps w:val="0"/>
          <w:color w:val="333333"/>
          <w:spacing w:val="0"/>
          <w:sz w:val="30"/>
          <w:szCs w:val="30"/>
        </w:rPr>
      </w:pPr>
      <w:r>
        <w:rPr>
          <w:rFonts w:hint="eastAsia" w:ascii="FangSong_GB2312" w:hAnsi="微软雅黑" w:eastAsia="FangSong_GB2312" w:cs="FangSong_GB2312"/>
          <w:i w:val="0"/>
          <w:iCs w:val="0"/>
          <w:caps w:val="0"/>
          <w:color w:val="333333"/>
          <w:spacing w:val="0"/>
          <w:sz w:val="30"/>
          <w:szCs w:val="30"/>
          <w:shd w:val="clear" w:color="auto" w:fill="FFFFFF"/>
        </w:rPr>
        <w:t>（</w:t>
      </w:r>
      <w:r>
        <w:rPr>
          <w:rFonts w:hint="eastAsia" w:ascii="FangSong_GB2312" w:hAnsi="微软雅黑" w:eastAsia="FangSong_GB2312" w:cs="FangSong_GB2312"/>
          <w:i w:val="0"/>
          <w:iCs w:val="0"/>
          <w:caps w:val="0"/>
          <w:color w:val="333333"/>
          <w:spacing w:val="0"/>
          <w:sz w:val="30"/>
          <w:szCs w:val="30"/>
          <w:shd w:val="clear" w:color="auto" w:fill="FFFFFF"/>
          <w:lang w:val="en-US" w:eastAsia="zh-CN"/>
        </w:rPr>
        <w:t>3</w:t>
      </w:r>
      <w:r>
        <w:rPr>
          <w:rFonts w:hint="eastAsia" w:ascii="FangSong_GB2312" w:hAnsi="微软雅黑" w:eastAsia="FangSong_GB2312" w:cs="FangSong_GB2312"/>
          <w:i w:val="0"/>
          <w:iCs w:val="0"/>
          <w:caps w:val="0"/>
          <w:color w:val="333333"/>
          <w:spacing w:val="0"/>
          <w:sz w:val="30"/>
          <w:szCs w:val="30"/>
          <w:shd w:val="clear" w:color="auto" w:fill="FFFFFF"/>
        </w:rPr>
        <w:t>）向人大提出年度市级预算执行和其他财政收支情况的审计结果报告。受市政府委托向市人大常委会提出市级预算执行和其他财政收支情况的审计工作报告、审计发现问题的纠正和处理结果报告。向市政府报告其他事项的审计和专项审计调查情况及结果，依法向社会公布审计结果。向市政府有关部门通报审计情况和审计结果。</w:t>
      </w:r>
    </w:p>
    <w:p w14:paraId="2C2829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225" w:beforeAutospacing="0" w:after="0" w:afterAutospacing="0" w:line="560" w:lineRule="exact"/>
        <w:ind w:left="0" w:right="0" w:firstLine="630"/>
        <w:jc w:val="left"/>
        <w:rPr>
          <w:rFonts w:hint="eastAsia" w:ascii="微软雅黑" w:hAnsi="微软雅黑" w:eastAsia="微软雅黑" w:cs="微软雅黑"/>
          <w:i w:val="0"/>
          <w:iCs w:val="0"/>
          <w:caps w:val="0"/>
          <w:color w:val="333333"/>
          <w:spacing w:val="0"/>
          <w:sz w:val="30"/>
          <w:szCs w:val="30"/>
        </w:rPr>
      </w:pPr>
      <w:r>
        <w:rPr>
          <w:rFonts w:hint="eastAsia" w:ascii="FangSong_GB2312" w:hAnsi="微软雅黑" w:eastAsia="FangSong_GB2312" w:cs="FangSong_GB2312"/>
          <w:i w:val="0"/>
          <w:iCs w:val="0"/>
          <w:caps w:val="0"/>
          <w:color w:val="333333"/>
          <w:spacing w:val="0"/>
          <w:sz w:val="30"/>
          <w:szCs w:val="30"/>
          <w:shd w:val="clear" w:color="auto" w:fill="FFFFFF"/>
        </w:rPr>
        <w:t>（</w:t>
      </w:r>
      <w:r>
        <w:rPr>
          <w:rFonts w:hint="eastAsia" w:ascii="FangSong_GB2312" w:hAnsi="微软雅黑" w:eastAsia="FangSong_GB2312" w:cs="FangSong_GB2312"/>
          <w:i w:val="0"/>
          <w:iCs w:val="0"/>
          <w:caps w:val="0"/>
          <w:color w:val="333333"/>
          <w:spacing w:val="0"/>
          <w:sz w:val="30"/>
          <w:szCs w:val="30"/>
          <w:shd w:val="clear" w:color="auto" w:fill="FFFFFF"/>
          <w:lang w:val="en-US" w:eastAsia="zh-CN"/>
        </w:rPr>
        <w:t>4</w:t>
      </w:r>
      <w:r>
        <w:rPr>
          <w:rFonts w:hint="eastAsia" w:ascii="FangSong_GB2312" w:hAnsi="微软雅黑" w:eastAsia="FangSong_GB2312" w:cs="FangSong_GB2312"/>
          <w:i w:val="0"/>
          <w:iCs w:val="0"/>
          <w:caps w:val="0"/>
          <w:color w:val="333333"/>
          <w:spacing w:val="0"/>
          <w:sz w:val="30"/>
          <w:szCs w:val="30"/>
          <w:shd w:val="clear" w:color="auto" w:fill="FFFFFF"/>
        </w:rPr>
        <w:t>）依据《中华人民共和国审计法》等规定，出具审计报告，做出审计决定或向有关部门提出处理处罚的建议。</w:t>
      </w:r>
    </w:p>
    <w:p w14:paraId="054ED3A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225" w:beforeAutospacing="0" w:after="0" w:afterAutospacing="0" w:line="560" w:lineRule="exact"/>
        <w:ind w:left="0" w:right="0" w:firstLine="600" w:firstLineChars="200"/>
        <w:jc w:val="left"/>
        <w:rPr>
          <w:rFonts w:ascii="FangSong_GB2312" w:hAnsi="仿宋" w:eastAsia="FangSong_GB2312"/>
          <w:sz w:val="32"/>
          <w:szCs w:val="32"/>
        </w:rPr>
      </w:pPr>
      <w:r>
        <w:rPr>
          <w:rFonts w:hint="eastAsia" w:ascii="FangSong_GB2312" w:hAnsi="微软雅黑" w:eastAsia="FangSong_GB2312" w:cs="FangSong_GB2312"/>
          <w:i w:val="0"/>
          <w:iCs w:val="0"/>
          <w:caps w:val="0"/>
          <w:color w:val="333333"/>
          <w:spacing w:val="0"/>
          <w:sz w:val="30"/>
          <w:szCs w:val="30"/>
          <w:shd w:val="clear" w:color="auto" w:fill="FFFFFF"/>
        </w:rPr>
        <w:t>（</w:t>
      </w:r>
      <w:r>
        <w:rPr>
          <w:rFonts w:hint="eastAsia" w:ascii="FangSong_GB2312" w:hAnsi="微软雅黑" w:eastAsia="FangSong_GB2312" w:cs="FangSong_GB2312"/>
          <w:i w:val="0"/>
          <w:iCs w:val="0"/>
          <w:caps w:val="0"/>
          <w:color w:val="333333"/>
          <w:spacing w:val="0"/>
          <w:sz w:val="30"/>
          <w:szCs w:val="30"/>
          <w:shd w:val="clear" w:color="auto" w:fill="FFFFFF"/>
          <w:lang w:val="en-US" w:eastAsia="zh-CN"/>
        </w:rPr>
        <w:t>5</w:t>
      </w:r>
      <w:r>
        <w:rPr>
          <w:rFonts w:hint="eastAsia" w:ascii="FangSong_GB2312" w:hAnsi="微软雅黑" w:eastAsia="FangSong_GB2312" w:cs="FangSong_GB2312"/>
          <w:i w:val="0"/>
          <w:iCs w:val="0"/>
          <w:caps w:val="0"/>
          <w:color w:val="333333"/>
          <w:spacing w:val="0"/>
          <w:sz w:val="30"/>
          <w:szCs w:val="30"/>
          <w:shd w:val="clear" w:color="auto" w:fill="FFFFFF"/>
        </w:rPr>
        <w:t>）市财政投资和以财政投资为主的建设工程项目概（预）算、决算，以及资金的筹集、使用情况。</w:t>
      </w:r>
    </w:p>
    <w:p w14:paraId="3B80BD32">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FangSong_GB2312" w:hAnsi="仿宋" w:eastAsia="FangSong_GB2312" w:cs="Times New Roman"/>
          <w:sz w:val="32"/>
          <w:szCs w:val="32"/>
          <w:lang w:eastAsia="zh-CN"/>
        </w:rPr>
      </w:pPr>
      <w:r>
        <w:rPr>
          <w:rFonts w:hint="eastAsia" w:ascii="FangSong_GB2312" w:hAnsi="仿宋" w:eastAsia="FangSong_GB2312" w:cs="Times New Roman"/>
          <w:sz w:val="32"/>
          <w:szCs w:val="32"/>
          <w:lang w:eastAsia="zh-CN"/>
        </w:rPr>
        <w:t>2．机构情况，包括当年变动情况及原因。</w:t>
      </w:r>
    </w:p>
    <w:p w14:paraId="7BE1F6A2">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rPr>
          <w:rFonts w:hint="eastAsia" w:ascii="微软雅黑" w:hAnsi="微软雅黑" w:eastAsia="FangSong_GB2312" w:cs="微软雅黑"/>
          <w:i w:val="0"/>
          <w:iCs w:val="0"/>
          <w:caps w:val="0"/>
          <w:color w:val="333333"/>
          <w:spacing w:val="0"/>
          <w:sz w:val="30"/>
          <w:szCs w:val="30"/>
          <w:lang w:eastAsia="zh-CN"/>
        </w:rPr>
      </w:pPr>
      <w:r>
        <w:rPr>
          <w:rFonts w:hint="eastAsia" w:ascii="FangSong_GB2312" w:hAnsi="FangSong_GB2312" w:eastAsia="FangSong_GB2312" w:cs="FangSong_GB2312"/>
          <w:color w:val="auto"/>
          <w:sz w:val="30"/>
          <w:szCs w:val="30"/>
          <w:lang w:val="en-US" w:eastAsia="zh-CN"/>
        </w:rPr>
        <w:t>共青城市审计局共有预算单位1个。核定编制人数17名，其中:行政编制9名，工勤编制2名，事业编制6名。目前，在职人数13人，其中，行政人员9人，全额拨款事业人员4人。内设办公室、综合业务审计股、法规审理股、固定资产投资股、四个内部股室</w:t>
      </w:r>
      <w:r>
        <w:rPr>
          <w:rFonts w:hint="default" w:ascii="FangSong_GB2312" w:hAnsi="FangSong_GB2312" w:eastAsia="FangSong_GB2312" w:cs="FangSong_GB2312"/>
          <w:color w:val="auto"/>
          <w:sz w:val="30"/>
          <w:szCs w:val="30"/>
          <w:lang w:val="en-US" w:eastAsia="zh-CN"/>
        </w:rPr>
        <w:t>。</w:t>
      </w:r>
      <w:r>
        <w:rPr>
          <w:rFonts w:hint="eastAsia" w:ascii="FangSong_GB2312" w:hAnsi="FangSong_GB2312" w:eastAsia="FangSong_GB2312" w:cs="FangSong_GB2312"/>
          <w:color w:val="auto"/>
          <w:sz w:val="30"/>
          <w:szCs w:val="30"/>
          <w:lang w:val="en-US" w:eastAsia="zh-CN"/>
        </w:rPr>
        <w:t>较上年无变化。</w:t>
      </w:r>
    </w:p>
    <w:p w14:paraId="0639480F">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jc w:val="left"/>
        <w:rPr>
          <w:rFonts w:hint="eastAsia" w:ascii="楷体_GB2312" w:hAnsi="仿宋" w:eastAsia="楷体_GB2312" w:cs="Times New Roman"/>
          <w:b w:val="0"/>
          <w:bCs/>
          <w:sz w:val="32"/>
          <w:szCs w:val="32"/>
          <w:lang w:val="en-US" w:eastAsia="zh-CN"/>
        </w:rPr>
      </w:pPr>
      <w:r>
        <w:rPr>
          <w:rFonts w:hint="eastAsia" w:ascii="楷体_GB2312" w:hAnsi="仿宋" w:eastAsia="楷体_GB2312" w:cs="Times New Roman"/>
          <w:b w:val="0"/>
          <w:bCs/>
          <w:sz w:val="32"/>
          <w:szCs w:val="32"/>
          <w:lang w:val="en-US" w:eastAsia="zh-CN"/>
        </w:rPr>
        <w:t>当年取得的主要事业成效</w:t>
      </w:r>
    </w:p>
    <w:p w14:paraId="49B84996">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FangSong_GB2312" w:hAnsi="FangSong_GB2312" w:eastAsia="FangSong_GB2312" w:cs="FangSong_GB2312"/>
          <w:color w:val="000000"/>
          <w:sz w:val="32"/>
          <w:szCs w:val="32"/>
          <w:lang w:val="en-US" w:eastAsia="zh-CN"/>
        </w:rPr>
      </w:pPr>
      <w:bookmarkStart w:id="1" w:name="YS060102"/>
      <w:r>
        <w:rPr>
          <w:rFonts w:hint="eastAsia" w:ascii="楷体_GB2312" w:hAnsi="楷体_GB2312" w:eastAsia="楷体_GB2312" w:cs="楷体_GB2312"/>
          <w:b/>
          <w:bCs/>
          <w:color w:val="000000"/>
          <w:sz w:val="32"/>
          <w:szCs w:val="32"/>
          <w:lang w:val="en-US" w:eastAsia="zh-CN"/>
        </w:rPr>
        <w:t>（一）聚焦政治属性，坚持党对审计工作的全面领导。</w:t>
      </w:r>
      <w:r>
        <w:rPr>
          <w:rFonts w:hint="eastAsia" w:ascii="FangSong_GB2312" w:hAnsi="FangSong_GB2312" w:eastAsia="FangSong_GB2312" w:cs="FangSong_GB2312"/>
          <w:b/>
          <w:bCs/>
          <w:color w:val="000000"/>
          <w:sz w:val="32"/>
          <w:szCs w:val="32"/>
          <w:lang w:val="en-US" w:eastAsia="zh-CN"/>
        </w:rPr>
        <w:t>一是</w:t>
      </w:r>
      <w:r>
        <w:rPr>
          <w:rFonts w:hint="eastAsia" w:ascii="FangSong_GB2312" w:hAnsi="FangSong_GB2312" w:eastAsia="FangSong_GB2312" w:cs="FangSong_GB2312"/>
          <w:b w:val="0"/>
          <w:bCs w:val="0"/>
          <w:color w:val="000000"/>
          <w:sz w:val="32"/>
          <w:szCs w:val="32"/>
          <w:lang w:val="en-US" w:eastAsia="zh-CN"/>
        </w:rPr>
        <w:t>旗帜鲜明讲政治。</w:t>
      </w:r>
      <w:r>
        <w:rPr>
          <w:rFonts w:hint="eastAsia" w:ascii="FangSong_GB2312" w:hAnsi="FangSong_GB2312" w:eastAsia="FangSong_GB2312" w:cs="FangSong_GB2312"/>
          <w:color w:val="000000"/>
          <w:sz w:val="32"/>
          <w:szCs w:val="32"/>
          <w:lang w:val="en-US" w:eastAsia="zh-CN"/>
        </w:rPr>
        <w:t>充分发挥审计办职能，严格执行重大事项请示报告制度，发挥审计“参谋助手”作用，将党对审计工作的全面领导落到实处。2024年提请召开了2次市委审计委员会，会议传达学习了习近平总书记在中央审计委员会上的重要讲话精神和省委、九江市委审计委员会会议精神，审议通过了2024审计计划和2023年度市本级预算执行和其他财政收支审计工作报告等。</w:t>
      </w:r>
      <w:r>
        <w:rPr>
          <w:rFonts w:hint="eastAsia" w:ascii="FangSong_GB2312" w:hAnsi="FangSong_GB2312" w:eastAsia="FangSong_GB2312" w:cs="FangSong_GB2312"/>
          <w:b/>
          <w:bCs/>
          <w:color w:val="000000"/>
          <w:sz w:val="32"/>
          <w:szCs w:val="32"/>
          <w:lang w:val="en-US" w:eastAsia="zh-CN"/>
        </w:rPr>
        <w:t>二是</w:t>
      </w:r>
      <w:r>
        <w:rPr>
          <w:rFonts w:hint="eastAsia" w:ascii="FangSong_GB2312" w:hAnsi="FangSong_GB2312" w:eastAsia="FangSong_GB2312" w:cs="FangSong_GB2312"/>
          <w:color w:val="000000"/>
          <w:sz w:val="32"/>
          <w:szCs w:val="32"/>
          <w:lang w:val="en-US" w:eastAsia="zh-CN"/>
        </w:rPr>
        <w:t>坚持党建引领。严格落实“三会一课”制度，组建抗洪抢险党员突击队，党员志愿服务队，积极发挥党员先锋模范作用。认真开展党组理论学习中心组将“第一议题”制度落到实处，传达学习习近平总书记系列</w:t>
      </w:r>
      <w:bookmarkStart w:id="2" w:name="_GoBack"/>
      <w:bookmarkEnd w:id="2"/>
      <w:r>
        <w:rPr>
          <w:rFonts w:hint="eastAsia" w:ascii="FangSong_GB2312" w:hAnsi="FangSong_GB2312" w:eastAsia="FangSong_GB2312" w:cs="FangSong_GB2312"/>
          <w:color w:val="000000"/>
          <w:sz w:val="32"/>
          <w:szCs w:val="32"/>
          <w:lang w:val="en-US" w:eastAsia="zh-CN"/>
        </w:rPr>
        <w:t>重要讲话精神和上级重要会议精神，在思想上、行动上与党中央保持高度一致。</w:t>
      </w:r>
      <w:r>
        <w:rPr>
          <w:rFonts w:hint="eastAsia" w:ascii="FangSong_GB2312" w:hAnsi="FangSong_GB2312" w:eastAsia="FangSong_GB2312" w:cs="FangSong_GB2312"/>
          <w:color w:val="000000"/>
          <w:kern w:val="2"/>
          <w:sz w:val="32"/>
          <w:szCs w:val="32"/>
          <w:lang w:val="en-US" w:eastAsia="zh-CN" w:bidi="ar-SA"/>
        </w:rPr>
        <w:t>严格执行“周二大讲堂”学习制度，每周二晚组织审计干部学政治理论、审计业务共36次。</w:t>
      </w:r>
      <w:r>
        <w:rPr>
          <w:rFonts w:hint="eastAsia" w:ascii="FangSong_GB2312" w:hAnsi="FangSong_GB2312" w:eastAsia="FangSong_GB2312" w:cs="FangSong_GB2312"/>
          <w:color w:val="000000"/>
          <w:sz w:val="32"/>
          <w:szCs w:val="32"/>
          <w:lang w:val="en-US" w:eastAsia="zh-CN"/>
        </w:rPr>
        <w:t>三</w:t>
      </w:r>
      <w:r>
        <w:rPr>
          <w:rFonts w:hint="eastAsia" w:ascii="FangSong_GB2312" w:hAnsi="FangSong_GB2312" w:eastAsia="FangSong_GB2312" w:cs="FangSong_GB2312"/>
          <w:b/>
          <w:bCs/>
          <w:color w:val="000000"/>
          <w:sz w:val="32"/>
          <w:szCs w:val="32"/>
          <w:lang w:val="en-US" w:eastAsia="zh-CN"/>
        </w:rPr>
        <w:t>是</w:t>
      </w:r>
      <w:r>
        <w:rPr>
          <w:rFonts w:hint="eastAsia" w:ascii="FangSong_GB2312" w:hAnsi="FangSong_GB2312" w:eastAsia="FangSong_GB2312" w:cs="FangSong_GB2312"/>
          <w:b w:val="0"/>
          <w:bCs w:val="0"/>
          <w:color w:val="000000"/>
          <w:kern w:val="2"/>
          <w:sz w:val="32"/>
          <w:szCs w:val="32"/>
          <w:lang w:val="en-US" w:eastAsia="zh-CN" w:bidi="ar-SA"/>
        </w:rPr>
        <w:t>深入开展党纪学习教育。</w:t>
      </w:r>
      <w:r>
        <w:rPr>
          <w:rFonts w:hint="eastAsia" w:ascii="FangSong_GB2312" w:hAnsi="FangSong_GB2312" w:eastAsia="FangSong_GB2312" w:cs="FangSong_GB2312"/>
          <w:color w:val="000000"/>
          <w:kern w:val="2"/>
          <w:sz w:val="32"/>
          <w:szCs w:val="32"/>
          <w:lang w:val="en-US" w:eastAsia="zh-CN" w:bidi="ar-SA"/>
        </w:rPr>
        <w:t>深入学习贯彻习近平总书记关于党纪学习教育的重要讲话和重要指示精神，认真落实中央、江西省、九江市和共青城市部署要求，高质量推进党纪学习教育。党组书记讲授党纪学习教育专题党课，逐条解读新修订《中国共产党纪律处分条例》制定的意义与要求、修订后的亮点等内容，支部党员开展学习研讨，进一步教育引导全体党员干部加强纪律意识，守牢纪律底线，履职担当尽责，打造一支让党放心、人民满意的审计铁军。</w:t>
      </w:r>
    </w:p>
    <w:p w14:paraId="5C5D238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FangSong_GB2312" w:hAnsi="FangSong_GB2312" w:eastAsia="FangSong_GB2312" w:cs="FangSong_GB2312"/>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（二）聚焦执审为民，全力开展群众身边不正之风和腐败问题集中整治。</w:t>
      </w:r>
      <w:r>
        <w:rPr>
          <w:rFonts w:hint="eastAsia" w:ascii="FangSong_GB2312" w:hAnsi="FangSong_GB2312" w:eastAsia="FangSong_GB2312" w:cs="FangSong_GB2312"/>
          <w:color w:val="000000"/>
          <w:kern w:val="2"/>
          <w:sz w:val="32"/>
          <w:szCs w:val="32"/>
          <w:lang w:val="en-US" w:eastAsia="zh-CN" w:bidi="ar-SA"/>
        </w:rPr>
        <w:t>紧密结合</w:t>
      </w:r>
      <w:r>
        <w:rPr>
          <w:rFonts w:hint="default" w:ascii="FangSong_GB2312" w:hAnsi="FangSong_GB2312" w:eastAsia="FangSong_GB2312" w:cs="FangSong_GB2312"/>
          <w:color w:val="000000"/>
          <w:kern w:val="2"/>
          <w:sz w:val="32"/>
          <w:szCs w:val="32"/>
          <w:lang w:val="en-US" w:eastAsia="zh-CN" w:bidi="ar-SA"/>
        </w:rPr>
        <w:t>《关于在全省开展群众身边不正之风和腐败问题集中整治的工作方案》</w:t>
      </w:r>
      <w:r>
        <w:rPr>
          <w:rFonts w:hint="eastAsia" w:ascii="FangSong_GB2312" w:hAnsi="FangSong_GB2312" w:eastAsia="FangSong_GB2312" w:cs="FangSong_GB2312"/>
          <w:color w:val="000000"/>
          <w:kern w:val="2"/>
          <w:sz w:val="32"/>
          <w:szCs w:val="32"/>
          <w:lang w:val="en-US" w:eastAsia="zh-CN" w:bidi="ar-SA"/>
        </w:rPr>
        <w:t>及中央纪委“四个聚焦”，省纪委“九个重点”和九江市纪委“五个项目化推进”开展审计工作，立足经济监督，聚焦主责主业，强化审计担当，始终把推进廉政建设作为审计监督的重要职责，建立健全审计与纪检、统计、财政等部门的工作协作机制，畅通信息渠道，发挥部门优势，形成反腐合力。认真梳理了十九大以来群腐问题，每周定期向市纪委监委移交线索。</w:t>
      </w:r>
    </w:p>
    <w:p w14:paraId="6056FF9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FangSong_GB2312" w:hAnsi="FangSong_GB2312" w:eastAsia="FangSong_GB2312" w:cs="FangSong_GB2312"/>
          <w:b/>
          <w:bCs/>
          <w:color w:val="000000"/>
          <w:sz w:val="32"/>
          <w:szCs w:val="32"/>
          <w:lang w:val="en-US" w:eastAsia="zh-CN"/>
        </w:rPr>
      </w:pPr>
      <w:r>
        <w:rPr>
          <w:rFonts w:hint="eastAsia" w:ascii="楷体_GB2312" w:hAnsi="楷体_GB2312" w:eastAsia="楷体_GB2312" w:cs="楷体_GB2312"/>
          <w:b/>
          <w:bCs/>
          <w:color w:val="000000"/>
          <w:kern w:val="2"/>
          <w:sz w:val="32"/>
          <w:szCs w:val="32"/>
          <w:lang w:val="en-US" w:eastAsia="zh-CN" w:bidi="ar-SA"/>
        </w:rPr>
        <w:t>（三）聚焦主责主业，切实履行审计监督职责。</w:t>
      </w:r>
      <w:r>
        <w:rPr>
          <w:rFonts w:hint="eastAsia" w:ascii="FangSong_GB2312" w:hAnsi="FangSong_GB2312" w:eastAsia="FangSong_GB2312" w:cs="FangSong_GB2312"/>
          <w:color w:val="000000"/>
          <w:sz w:val="32"/>
          <w:szCs w:val="32"/>
          <w:lang w:val="en-US" w:eastAsia="zh-CN"/>
        </w:rPr>
        <w:t>紧紧围绕市委、市政府中心工作，聚焦审计主责主业，高效推动各项工作顺利开展。根据年初制定的审计计划，2024年</w:t>
      </w:r>
      <w:r>
        <w:rPr>
          <w:rFonts w:hint="eastAsia" w:ascii="FangSong_GB2312" w:hAnsi="FangSong_GB2312" w:eastAsia="FangSong_GB2312" w:cs="FangSong_GB2312"/>
          <w:color w:val="000000"/>
          <w:sz w:val="32"/>
          <w:szCs w:val="32"/>
          <w:lang w:eastAsia="zh-CN"/>
        </w:rPr>
        <w:t>审计项目共</w:t>
      </w:r>
      <w:r>
        <w:rPr>
          <w:rFonts w:hint="eastAsia" w:ascii="FangSong_GB2312" w:hAnsi="FangSong_GB2312" w:eastAsia="FangSong_GB2312" w:cs="FangSong_GB2312"/>
          <w:color w:val="000000"/>
          <w:sz w:val="32"/>
          <w:szCs w:val="32"/>
          <w:lang w:val="en-US" w:eastAsia="zh-CN"/>
        </w:rPr>
        <w:t>19</w:t>
      </w:r>
      <w:r>
        <w:rPr>
          <w:rFonts w:hint="eastAsia" w:ascii="FangSong_GB2312" w:hAnsi="FangSong_GB2312" w:eastAsia="FangSong_GB2312" w:cs="FangSong_GB2312"/>
          <w:color w:val="000000"/>
          <w:sz w:val="32"/>
          <w:szCs w:val="32"/>
          <w:lang w:eastAsia="zh-CN"/>
        </w:rPr>
        <w:t>个</w:t>
      </w:r>
      <w:r>
        <w:rPr>
          <w:rFonts w:hint="eastAsia" w:ascii="FangSong_GB2312" w:hAnsi="FangSong_GB2312" w:eastAsia="FangSong_GB2312" w:cs="FangSong_GB2312"/>
          <w:color w:val="000000"/>
          <w:sz w:val="32"/>
          <w:szCs w:val="32"/>
          <w:lang w:val="en-US" w:eastAsia="zh-CN"/>
        </w:rPr>
        <w:t>，已全部完成现场审计，出具了8份审计专报，向纪委和主管部门移送问题线索16条。根据省审计厅、九江市审计局统一安排，开展了对瑞昌市 2023年增发国债第二批防洪减灾重点工程项目审计调查。2024年九江市全市审计机关优秀审计项目评选中，</w:t>
      </w:r>
      <w:r>
        <w:rPr>
          <w:rFonts w:hint="eastAsia" w:ascii="FangSong_GB2312" w:hAnsi="FangSong_GB2312" w:eastAsia="FangSong_GB2312" w:cs="FangSong_GB2312"/>
          <w:b/>
          <w:bCs/>
          <w:color w:val="000000"/>
          <w:sz w:val="32"/>
          <w:szCs w:val="32"/>
          <w:lang w:val="en-US" w:eastAsia="zh-CN"/>
        </w:rPr>
        <w:t>我局实施的“湖口农村商业银行股份有限公司2021年度资产负债损益审计”项目荣获县级优秀审计项目“二等奖”。</w:t>
      </w:r>
    </w:p>
    <w:p w14:paraId="02E39C3F">
      <w:pPr>
        <w:pStyle w:val="10"/>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b/>
          <w:bCs/>
          <w:color w:val="000000"/>
          <w:lang w:val="en-US" w:eastAsia="zh-CN"/>
        </w:rPr>
      </w:pPr>
      <w:r>
        <w:rPr>
          <w:rFonts w:hint="eastAsia" w:ascii="FangSong_GB2312" w:hAnsi="FangSong_GB2312" w:eastAsia="FangSong_GB2312" w:cs="FangSong_GB2312"/>
          <w:b/>
          <w:bCs/>
          <w:color w:val="000000"/>
          <w:kern w:val="2"/>
          <w:sz w:val="32"/>
          <w:szCs w:val="32"/>
          <w:lang w:val="en-US" w:eastAsia="zh-CN" w:bidi="ar-SA"/>
        </w:rPr>
        <w:t>1.开展市本级预算执行及决算草案审计。</w:t>
      </w:r>
      <w:r>
        <w:rPr>
          <w:rFonts w:hint="eastAsia" w:ascii="FangSong_GB2312" w:hAnsi="FangSong_GB2312" w:eastAsia="FangSong_GB2312" w:cs="FangSong_GB2312"/>
          <w:color w:val="000000"/>
          <w:sz w:val="32"/>
          <w:szCs w:val="32"/>
          <w:lang w:val="en-US" w:eastAsia="zh-CN"/>
        </w:rPr>
        <w:t>以促进财政支出提质增效，深化预算管理体制改革，优化市级财政支出结构，提高财政支出效益为目标，重点关注市级预算执行和决算草案编制、预算管理制度改革、财政资金分配、重点投资项目建设和绩效、以前年度审计查处问题整改等情况。</w:t>
      </w:r>
      <w:r>
        <w:rPr>
          <w:rFonts w:hint="eastAsia" w:ascii="FangSong_GB2312" w:hAnsi="FangSong_GB2312" w:eastAsia="FangSong_GB2312" w:cs="FangSong_GB2312"/>
          <w:b/>
          <w:bCs/>
          <w:color w:val="000000"/>
          <w:sz w:val="32"/>
          <w:szCs w:val="32"/>
          <w:lang w:val="en-US" w:eastAsia="zh-CN"/>
        </w:rPr>
        <w:t>截至目前，已出具市本级预算执行及决算草案的审计报告。</w:t>
      </w:r>
    </w:p>
    <w:p w14:paraId="571FD08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FangSong_GB2312" w:hAnsi="FangSong_GB2312" w:eastAsia="FangSong_GB2312" w:cs="FangSong_GB2312"/>
          <w:color w:val="000000"/>
          <w:sz w:val="32"/>
          <w:szCs w:val="32"/>
          <w:highlight w:val="none"/>
          <w:lang w:val="en-US" w:eastAsia="zh-CN"/>
        </w:rPr>
      </w:pPr>
      <w:r>
        <w:rPr>
          <w:rFonts w:hint="eastAsia" w:ascii="FangSong_GB2312" w:hAnsi="FangSong_GB2312" w:eastAsia="FangSong_GB2312" w:cs="FangSong_GB2312"/>
          <w:b/>
          <w:bCs/>
          <w:color w:val="000000"/>
          <w:kern w:val="2"/>
          <w:sz w:val="32"/>
          <w:szCs w:val="32"/>
          <w:lang w:val="en-US" w:eastAsia="zh-CN" w:bidi="ar-SA"/>
        </w:rPr>
        <w:t>2.开展部门预算执行及决算草案审计。</w:t>
      </w:r>
      <w:r>
        <w:rPr>
          <w:rFonts w:hint="eastAsia" w:ascii="FangSong_GB2312" w:hAnsi="FangSong_GB2312" w:eastAsia="FangSong_GB2312" w:cs="FangSong_GB2312"/>
          <w:color w:val="000000"/>
          <w:kern w:val="2"/>
          <w:sz w:val="32"/>
          <w:szCs w:val="32"/>
          <w:lang w:val="en-US" w:eastAsia="zh-CN" w:bidi="ar-SA"/>
        </w:rPr>
        <w:t>以促进规范部门预算管理、落实厉行节约的要求，提高财政资金使用绩效为目标，重点关注市级部门预算收支、决算草案编制的真实性和完整性，中央八项规定及其实施细则精神贯彻落实、行政事业性资产管理使用、党政机关和事业单位办企业的情况。</w:t>
      </w:r>
      <w:r>
        <w:rPr>
          <w:rFonts w:hint="eastAsia" w:ascii="FangSong_GB2312" w:hAnsi="FangSong_GB2312" w:eastAsia="FangSong_GB2312" w:cs="FangSong_GB2312"/>
          <w:b/>
          <w:bCs/>
          <w:color w:val="000000"/>
          <w:kern w:val="2"/>
          <w:sz w:val="32"/>
          <w:szCs w:val="32"/>
          <w:lang w:val="en-US" w:eastAsia="zh-CN" w:bidi="ar-SA"/>
        </w:rPr>
        <w:t>截至目前，年初计划的6个市级部门预算执行及决算草案的审计，已全部完成。</w:t>
      </w:r>
    </w:p>
    <w:p w14:paraId="240BD001">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sz w:val="32"/>
          <w:szCs w:val="32"/>
          <w:lang w:eastAsia="zh-CN"/>
        </w:rPr>
      </w:pPr>
      <w:r>
        <w:rPr>
          <w:rFonts w:hint="eastAsia" w:ascii="FangSong_GB2312" w:hAnsi="FangSong_GB2312" w:eastAsia="FangSong_GB2312" w:cs="FangSong_GB2312"/>
          <w:b/>
          <w:bCs/>
          <w:color w:val="000000"/>
          <w:kern w:val="2"/>
          <w:sz w:val="32"/>
          <w:szCs w:val="32"/>
          <w:lang w:val="en-US" w:eastAsia="zh-CN" w:bidi="ar-SA"/>
        </w:rPr>
        <w:t>3.开展任期领导干部经济责任审计。</w:t>
      </w:r>
      <w:r>
        <w:rPr>
          <w:rFonts w:hint="eastAsia" w:ascii="FangSong_GB2312" w:hAnsi="FangSong_GB2312" w:eastAsia="FangSong_GB2312" w:cs="FangSong_GB2312"/>
          <w:color w:val="000000"/>
          <w:kern w:val="2"/>
          <w:sz w:val="32"/>
          <w:szCs w:val="32"/>
          <w:lang w:val="en-US" w:eastAsia="zh-CN" w:bidi="ar-SA"/>
        </w:rPr>
        <w:t>以促进部门科学发展和领导干部履职尽责、担当作为、廉洁用权、干净做事为目标，重点关注领导干部遵守有关法律法规及本部门重大政策贯彻落实情况，重大改革任务推进、财政财务管理和预算执行情况，重要经济事项管理制度、“三重一大”制度建立和执行情况，政府投资工程建设项目，对所属单位监管情况，贯彻落实中央八项规定积极实施细则精神，以及领导干部遵守有关廉洁从政规定等。根据审计计划安排，</w:t>
      </w:r>
      <w:r>
        <w:rPr>
          <w:rFonts w:hint="eastAsia" w:ascii="FangSong_GB2312" w:hAnsi="FangSong_GB2312" w:eastAsia="FangSong_GB2312" w:cs="FangSong_GB2312"/>
          <w:b/>
          <w:bCs/>
          <w:color w:val="000000"/>
          <w:kern w:val="2"/>
          <w:sz w:val="32"/>
          <w:szCs w:val="32"/>
          <w:lang w:val="en-US" w:eastAsia="zh-CN" w:bidi="ar-SA"/>
        </w:rPr>
        <w:t>截至目前，统筹安排了9个经济责任审计项目，已全部完成。</w:t>
      </w:r>
    </w:p>
    <w:p w14:paraId="6C65FF87">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FangSong_GB2312" w:hAnsi="FangSong_GB2312" w:eastAsia="FangSong_GB2312" w:cs="FangSong_GB2312"/>
          <w:b/>
          <w:bCs/>
          <w:color w:val="000000"/>
          <w:sz w:val="32"/>
          <w:szCs w:val="32"/>
          <w:lang w:val="en-US" w:eastAsia="zh-CN"/>
        </w:rPr>
      </w:pPr>
      <w:r>
        <w:rPr>
          <w:rFonts w:hint="eastAsia" w:ascii="FangSong_GB2312" w:hAnsi="FangSong_GB2312" w:eastAsia="FangSong_GB2312" w:cs="FangSong_GB2312"/>
          <w:b/>
          <w:bCs/>
          <w:color w:val="000000"/>
          <w:sz w:val="32"/>
          <w:szCs w:val="32"/>
          <w:lang w:val="en-US" w:eastAsia="zh-CN"/>
        </w:rPr>
        <w:t>4.开展领导干部自然资源资产任中审计。</w:t>
      </w:r>
      <w:r>
        <w:rPr>
          <w:rFonts w:hint="eastAsia" w:ascii="FangSong_GB2312" w:hAnsi="FangSong_GB2312" w:eastAsia="FangSong_GB2312" w:cs="FangSong_GB2312"/>
          <w:color w:val="000000"/>
          <w:sz w:val="32"/>
          <w:szCs w:val="32"/>
          <w:lang w:val="en-US" w:eastAsia="zh-CN"/>
        </w:rPr>
        <w:t>以贯彻落实绿色发展理念，促进领导干部认真履行自然资源资产管理和生态环境保护责任为目标，重点关注领导干部贯彻执行党中央、国务院和省委、省政府，九江市委、市政府以及共青城市委、市政府生态文明建设方针政策部署、遵守自然资源资产管理和生态环境保护法律法规、履行自然资源资产管理和生态环境保护监管责任、相关资金征管用和项目建设运行等情况。</w:t>
      </w:r>
      <w:r>
        <w:rPr>
          <w:rFonts w:hint="eastAsia" w:ascii="FangSong_GB2312" w:hAnsi="FangSong_GB2312" w:eastAsia="FangSong_GB2312" w:cs="FangSong_GB2312"/>
          <w:b/>
          <w:bCs/>
          <w:color w:val="000000"/>
          <w:sz w:val="32"/>
          <w:szCs w:val="32"/>
          <w:lang w:val="en-US" w:eastAsia="zh-CN"/>
        </w:rPr>
        <w:t>截至目前，已出具审计意见。</w:t>
      </w:r>
    </w:p>
    <w:p w14:paraId="3B672585">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FangSong_GB2312" w:hAnsi="FangSong_GB2312" w:eastAsia="FangSong_GB2312" w:cs="FangSong_GB2312"/>
          <w:b/>
          <w:bCs/>
          <w:color w:val="000000"/>
          <w:kern w:val="2"/>
          <w:sz w:val="32"/>
          <w:szCs w:val="32"/>
          <w:lang w:val="en-US" w:eastAsia="zh-CN" w:bidi="ar-SA"/>
        </w:rPr>
      </w:pPr>
      <w:r>
        <w:rPr>
          <w:rFonts w:hint="eastAsia" w:ascii="FangSong_GB2312" w:hAnsi="FangSong_GB2312" w:eastAsia="FangSong_GB2312" w:cs="FangSong_GB2312"/>
          <w:b/>
          <w:bCs/>
          <w:color w:val="000000"/>
          <w:sz w:val="32"/>
          <w:szCs w:val="32"/>
          <w:lang w:val="en-US" w:eastAsia="zh-CN"/>
        </w:rPr>
        <w:t>5.开展省级</w:t>
      </w:r>
      <w:r>
        <w:rPr>
          <w:rFonts w:hint="default" w:ascii="FangSong_GB2312" w:hAnsi="FangSong_GB2312" w:eastAsia="FangSong_GB2312" w:cs="FangSong_GB2312"/>
          <w:b/>
          <w:bCs/>
          <w:color w:val="000000"/>
          <w:sz w:val="32"/>
          <w:szCs w:val="32"/>
          <w:lang w:val="en-US" w:eastAsia="zh-CN"/>
        </w:rPr>
        <w:t>科技专项资金管理分配使用情况审计调查</w:t>
      </w:r>
      <w:r>
        <w:rPr>
          <w:rFonts w:hint="eastAsia" w:ascii="FangSong_GB2312" w:hAnsi="FangSong_GB2312" w:eastAsia="FangSong_GB2312" w:cs="FangSong_GB2312"/>
          <w:b/>
          <w:bCs/>
          <w:color w:val="000000"/>
          <w:sz w:val="32"/>
          <w:szCs w:val="32"/>
          <w:lang w:val="en-US" w:eastAsia="zh-CN"/>
        </w:rPr>
        <w:t>。</w:t>
      </w:r>
      <w:r>
        <w:rPr>
          <w:rFonts w:hint="default" w:ascii="FangSong_GB2312" w:hAnsi="FangSong_GB2312" w:eastAsia="FangSong_GB2312" w:cs="FangSong_GB2312"/>
          <w:color w:val="000000"/>
          <w:kern w:val="2"/>
          <w:sz w:val="32"/>
          <w:szCs w:val="32"/>
          <w:lang w:val="en-US" w:eastAsia="zh-CN" w:bidi="ar-SA"/>
        </w:rPr>
        <w:t>以</w:t>
      </w:r>
      <w:r>
        <w:rPr>
          <w:rFonts w:hint="eastAsia" w:ascii="FangSong_GB2312" w:hAnsi="FangSong_GB2312" w:eastAsia="FangSong_GB2312" w:cs="FangSong_GB2312"/>
          <w:color w:val="000000"/>
          <w:kern w:val="2"/>
          <w:sz w:val="32"/>
          <w:szCs w:val="32"/>
          <w:lang w:val="en-US" w:eastAsia="zh-CN" w:bidi="ar-SA"/>
        </w:rPr>
        <w:t>省</w:t>
      </w:r>
      <w:r>
        <w:rPr>
          <w:rFonts w:hint="default" w:ascii="FangSong_GB2312" w:hAnsi="FangSong_GB2312" w:eastAsia="FangSong_GB2312" w:cs="FangSong_GB2312"/>
          <w:color w:val="000000"/>
          <w:kern w:val="2"/>
          <w:sz w:val="32"/>
          <w:szCs w:val="32"/>
          <w:lang w:val="en-US" w:eastAsia="zh-CN" w:bidi="ar-SA"/>
        </w:rPr>
        <w:t>级科技专项资金政策落实、管理、使用等情况为重点,紧紧围绕资金流动这条主线，对科技专项资金</w:t>
      </w:r>
      <w:r>
        <w:rPr>
          <w:rFonts w:hint="eastAsia" w:ascii="FangSong_GB2312" w:hAnsi="FangSong_GB2312" w:eastAsia="FangSong_GB2312" w:cs="FangSong_GB2312"/>
          <w:color w:val="000000"/>
          <w:kern w:val="2"/>
          <w:sz w:val="32"/>
          <w:szCs w:val="32"/>
          <w:lang w:val="en-US" w:eastAsia="zh-CN" w:bidi="ar-SA"/>
        </w:rPr>
        <w:t>的</w:t>
      </w:r>
      <w:r>
        <w:rPr>
          <w:rFonts w:hint="default" w:ascii="FangSong_GB2312" w:hAnsi="FangSong_GB2312" w:eastAsia="FangSong_GB2312" w:cs="FangSong_GB2312"/>
          <w:color w:val="000000"/>
          <w:kern w:val="2"/>
          <w:sz w:val="32"/>
          <w:szCs w:val="32"/>
          <w:lang w:val="en-US" w:eastAsia="zh-CN" w:bidi="ar-SA"/>
        </w:rPr>
        <w:t>资金拨付、项目管理、资金绩效等管理分配使用情况进行审计调查，针对性地提出对策建议,最大限度地发挥科技专项资金效益，推动科技创新政策落地落实。</w:t>
      </w:r>
      <w:r>
        <w:rPr>
          <w:rFonts w:hint="eastAsia" w:ascii="FangSong_GB2312" w:hAnsi="FangSong_GB2312" w:eastAsia="FangSong_GB2312" w:cs="FangSong_GB2312"/>
          <w:b/>
          <w:bCs/>
          <w:color w:val="000000"/>
          <w:kern w:val="2"/>
          <w:sz w:val="32"/>
          <w:szCs w:val="32"/>
          <w:lang w:val="en-US" w:eastAsia="zh-CN" w:bidi="ar-SA"/>
        </w:rPr>
        <w:t>截至目前，该项目已完成。</w:t>
      </w:r>
    </w:p>
    <w:p w14:paraId="2D02E64C">
      <w:pPr>
        <w:pStyle w:val="1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left"/>
        <w:textAlignment w:val="auto"/>
        <w:rPr>
          <w:rFonts w:hint="eastAsia" w:ascii="FangSong_GB2312" w:hAnsi="FangSong_GB2312" w:eastAsia="FangSong_GB2312" w:cs="FangSong_GB2312"/>
          <w:b/>
          <w:bCs/>
          <w:color w:val="000000"/>
          <w:kern w:val="2"/>
          <w:sz w:val="32"/>
          <w:szCs w:val="32"/>
          <w:lang w:val="en-US" w:eastAsia="zh-CN" w:bidi="ar-SA"/>
        </w:rPr>
      </w:pPr>
      <w:r>
        <w:rPr>
          <w:rFonts w:hint="eastAsia" w:ascii="FangSong_GB2312" w:hAnsi="FangSong_GB2312" w:eastAsia="FangSong_GB2312" w:cs="FangSong_GB2312"/>
          <w:b/>
          <w:bCs/>
          <w:color w:val="000000"/>
          <w:kern w:val="2"/>
          <w:sz w:val="32"/>
          <w:szCs w:val="32"/>
          <w:lang w:val="en-US" w:eastAsia="zh-CN" w:bidi="ar-SA"/>
        </w:rPr>
        <w:t>6.开展全市公立医疗机构医药领域专项审计调查。</w:t>
      </w:r>
      <w:r>
        <w:rPr>
          <w:rFonts w:hint="eastAsia" w:ascii="FangSong_GB2312" w:hAnsi="FangSong_GB2312" w:eastAsia="FangSong_GB2312" w:cs="FangSong_GB2312"/>
          <w:color w:val="000000"/>
          <w:kern w:val="2"/>
          <w:sz w:val="32"/>
          <w:szCs w:val="32"/>
          <w:lang w:val="en-US" w:eastAsia="zh-CN" w:bidi="ar-SA"/>
        </w:rPr>
        <w:t>以公立医院和乡镇卫生院为主体，聚焦医药领域采购、分配、报销等重点环节和“关键少数”,审查医疗卫生机构药品采购、基本医疗设备采购以及医疗卫生领域重点工程建设项目情况，着力改善群众看病就医条件，促进提升医疗卫生保障水平。</w:t>
      </w:r>
      <w:r>
        <w:rPr>
          <w:rFonts w:hint="eastAsia" w:ascii="FangSong_GB2312" w:hAnsi="FangSong_GB2312" w:eastAsia="FangSong_GB2312" w:cs="FangSong_GB2312"/>
          <w:b/>
          <w:bCs/>
          <w:color w:val="000000"/>
          <w:kern w:val="2"/>
          <w:sz w:val="32"/>
          <w:szCs w:val="32"/>
          <w:lang w:val="en-US" w:eastAsia="zh-CN" w:bidi="ar-SA"/>
        </w:rPr>
        <w:t>截至目前，该项目已完成现场审计。</w:t>
      </w:r>
    </w:p>
    <w:p w14:paraId="37FB54A3">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3" w:firstLineChars="200"/>
        <w:jc w:val="both"/>
        <w:textAlignment w:val="auto"/>
        <w:outlineLvl w:val="9"/>
        <w:rPr>
          <w:rFonts w:hint="eastAsia" w:ascii="FangSong_GB2312" w:hAnsi="FangSong_GB2312" w:eastAsia="FangSong_GB2312" w:cs="FangSong_GB2312"/>
          <w:color w:val="000000"/>
          <w:kern w:val="2"/>
          <w:sz w:val="32"/>
          <w:szCs w:val="32"/>
          <w:lang w:val="en-US" w:eastAsia="zh-CN" w:bidi="ar-SA"/>
        </w:rPr>
      </w:pPr>
      <w:r>
        <w:rPr>
          <w:rFonts w:hint="eastAsia" w:ascii="FangSong_GB2312" w:hAnsi="FangSong_GB2312" w:eastAsia="FangSong_GB2312" w:cs="FangSong_GB2312"/>
          <w:b/>
          <w:bCs/>
          <w:color w:val="000000"/>
          <w:kern w:val="2"/>
          <w:sz w:val="32"/>
          <w:szCs w:val="32"/>
          <w:lang w:val="en-US" w:eastAsia="zh-CN" w:bidi="ar-SA"/>
        </w:rPr>
        <w:t>7.积极探索国家审计监督+社会审计监督模式，助力审计监督。一是</w:t>
      </w:r>
      <w:r>
        <w:rPr>
          <w:rFonts w:hint="eastAsia" w:ascii="FangSong_GB2312" w:hAnsi="FangSong_GB2312" w:eastAsia="FangSong_GB2312" w:cs="FangSong_GB2312"/>
          <w:color w:val="000000"/>
          <w:kern w:val="2"/>
          <w:sz w:val="32"/>
          <w:szCs w:val="32"/>
          <w:lang w:val="en-US" w:eastAsia="zh-CN" w:bidi="ar-SA"/>
        </w:rPr>
        <w:t>加强社会中介机构的动态考评管理。制定了《共青城市审计局对公共投资审计（复核）项目社会中介服务机构考核细则》，1月份开展了2023年度中介机构年终考评工作，实行“能进能退”的优存优先的制度。</w:t>
      </w:r>
      <w:r>
        <w:rPr>
          <w:rFonts w:hint="eastAsia" w:ascii="FangSong_GB2312" w:hAnsi="FangSong_GB2312" w:eastAsia="FangSong_GB2312" w:cs="FangSong_GB2312"/>
          <w:b/>
          <w:bCs/>
          <w:color w:val="000000"/>
          <w:kern w:val="2"/>
          <w:sz w:val="32"/>
          <w:szCs w:val="32"/>
          <w:lang w:val="en-US" w:eastAsia="zh-CN" w:bidi="ar-SA"/>
        </w:rPr>
        <w:t>二是</w:t>
      </w:r>
      <w:r>
        <w:rPr>
          <w:rFonts w:hint="eastAsia" w:ascii="FangSong_GB2312" w:hAnsi="FangSong_GB2312" w:eastAsia="FangSong_GB2312" w:cs="FangSong_GB2312"/>
          <w:color w:val="000000"/>
          <w:kern w:val="2"/>
          <w:sz w:val="32"/>
          <w:szCs w:val="32"/>
          <w:lang w:val="en-US" w:eastAsia="zh-CN" w:bidi="ar-SA"/>
        </w:rPr>
        <w:t xml:space="preserve">制定政府框架协议采购社会中介机构方案。修订了《共青城市审计局委托中介机构参与政府投资建设项目审计复核管理办法》，通过指导和监督社会中介服务质量，规范社会中介机构参与政府投资建设项目审计的执业行为，保证审计质量，防范审计风险，加强廉政建设。6月4日召开了社会中介服务机构管理工作会议，会议要求各公司加强联动协作，形成工作合力、加强队伍建设，提升审计能力，守牢廉洁底线，更好地助力审计监督。 </w:t>
      </w:r>
    </w:p>
    <w:p w14:paraId="2F743A0E">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3" w:firstLineChars="200"/>
        <w:jc w:val="both"/>
        <w:textAlignment w:val="auto"/>
        <w:outlineLvl w:val="9"/>
        <w:rPr>
          <w:rFonts w:hint="eastAsia" w:ascii="FangSong_GB2312" w:hAnsi="FangSong_GB2312" w:eastAsia="FangSong_GB2312" w:cs="FangSong_GB2312"/>
          <w:b/>
          <w:bCs/>
          <w:color w:val="000000"/>
          <w:kern w:val="2"/>
          <w:sz w:val="32"/>
          <w:szCs w:val="32"/>
          <w:lang w:val="en-US" w:eastAsia="zh-CN" w:bidi="ar-SA"/>
        </w:rPr>
      </w:pPr>
      <w:r>
        <w:rPr>
          <w:rFonts w:hint="eastAsia" w:ascii="FangSong_GB2312" w:hAnsi="FangSong_GB2312" w:eastAsia="FangSong_GB2312" w:cs="FangSong_GB2312"/>
          <w:b/>
          <w:bCs/>
          <w:color w:val="000000"/>
          <w:kern w:val="2"/>
          <w:sz w:val="32"/>
          <w:szCs w:val="32"/>
          <w:lang w:val="en-US" w:eastAsia="zh-CN" w:bidi="ar-SA"/>
        </w:rPr>
        <w:t>8.推进投资审计转型，提高政府投资绩效。</w:t>
      </w:r>
      <w:r>
        <w:rPr>
          <w:rFonts w:hint="eastAsia" w:ascii="FangSong_GB2312" w:hAnsi="FangSong_GB2312" w:eastAsia="FangSong_GB2312" w:cs="FangSong_GB2312"/>
          <w:color w:val="000000"/>
          <w:kern w:val="2"/>
          <w:sz w:val="32"/>
          <w:szCs w:val="32"/>
          <w:lang w:val="en-US" w:eastAsia="zh-CN" w:bidi="ar-SA"/>
        </w:rPr>
        <w:t>依法依规开展政府投资审计工作，积极推进政府投资审计实现“三个转变”，发挥审计建设性作用，积极服务全市重点工程建设，进一步保障建设资金安全效益。按市政府领导签批要求，对相关政府投资项目第三方审核结果进行复核。根据省审计厅、九江市审计局统一安排，开展了对瑞昌市 2023年增发国债第二批防洪减灾重点工程项目审计调查，重点了解江西省重点易涝区排涝能力建设瑞昌市湓城片涝区治理工程、江西省重点易涝区排涝能力建设瑞昌市洪一等乡镇涝区治理工程等2个国债项目的基本情况及存在的问题，</w:t>
      </w:r>
      <w:r>
        <w:rPr>
          <w:rFonts w:hint="eastAsia" w:ascii="FangSong_GB2312" w:hAnsi="FangSong_GB2312" w:eastAsia="FangSong_GB2312" w:cs="FangSong_GB2312"/>
          <w:b/>
          <w:bCs/>
          <w:color w:val="000000"/>
          <w:kern w:val="2"/>
          <w:sz w:val="32"/>
          <w:szCs w:val="32"/>
          <w:lang w:val="en-US" w:eastAsia="zh-CN" w:bidi="ar-SA"/>
        </w:rPr>
        <w:t>截至目前，该项目已完成。</w:t>
      </w:r>
    </w:p>
    <w:p w14:paraId="4F8AE2DF">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3" w:firstLineChars="200"/>
        <w:jc w:val="both"/>
        <w:textAlignment w:val="auto"/>
        <w:outlineLvl w:val="9"/>
        <w:rPr>
          <w:rFonts w:hint="eastAsia" w:ascii="FangSong_GB2312" w:hAnsi="FangSong_GB2312" w:eastAsia="FangSong_GB2312" w:cs="FangSong_GB2312"/>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（四）狠抓队伍建设，打造审计“特种部队”。</w:t>
      </w:r>
      <w:r>
        <w:rPr>
          <w:rFonts w:hint="eastAsia" w:ascii="仿宋" w:hAnsi="仿宋" w:eastAsia="仿宋" w:cs="仿宋"/>
          <w:b/>
          <w:bCs/>
          <w:color w:val="000000"/>
          <w:sz w:val="32"/>
          <w:szCs w:val="32"/>
          <w:lang w:val="en-US" w:eastAsia="zh-CN"/>
        </w:rPr>
        <w:t>一是</w:t>
      </w:r>
      <w:r>
        <w:rPr>
          <w:rFonts w:hint="eastAsia" w:ascii="FangSong_GB2312" w:hAnsi="FangSong_GB2312" w:eastAsia="FangSong_GB2312" w:cs="FangSong_GB2312"/>
          <w:color w:val="000000"/>
          <w:kern w:val="2"/>
          <w:sz w:val="32"/>
          <w:szCs w:val="32"/>
          <w:lang w:val="en-US" w:eastAsia="zh-CN" w:bidi="ar-SA"/>
        </w:rPr>
        <w:t>注重业务骨干的培养。通过“以学促进”“以审代训”“以老带新”的方式，培养审计复合型人才。选派4名优秀审计干部赴省厅、市局参与审计项目，学习优秀审计理念和方法。</w:t>
      </w:r>
      <w:r>
        <w:rPr>
          <w:rFonts w:hint="eastAsia" w:ascii="FangSong_GB2312" w:hAnsi="FangSong_GB2312" w:eastAsia="FangSong_GB2312" w:cs="FangSong_GB2312"/>
          <w:b/>
          <w:bCs/>
          <w:color w:val="000000"/>
          <w:kern w:val="2"/>
          <w:sz w:val="32"/>
          <w:szCs w:val="32"/>
          <w:lang w:val="en-US" w:eastAsia="zh-CN" w:bidi="ar-SA"/>
        </w:rPr>
        <w:t>二是</w:t>
      </w:r>
      <w:r>
        <w:rPr>
          <w:rFonts w:hint="eastAsia" w:ascii="FangSong_GB2312" w:hAnsi="FangSong_GB2312" w:eastAsia="FangSong_GB2312" w:cs="FangSong_GB2312"/>
          <w:color w:val="000000"/>
          <w:kern w:val="2"/>
          <w:sz w:val="32"/>
          <w:szCs w:val="32"/>
          <w:lang w:val="en-US" w:eastAsia="zh-CN" w:bidi="ar-SA"/>
        </w:rPr>
        <w:t>坚持全面从严治党。将廉洁教育贯穿审计全过程各环节，做到依法审计、文明审计、廉洁审计。</w:t>
      </w:r>
    </w:p>
    <w:p w14:paraId="5FDA3C9A">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3" w:firstLineChars="200"/>
        <w:jc w:val="both"/>
        <w:textAlignment w:val="auto"/>
        <w:outlineLvl w:val="9"/>
        <w:rPr>
          <w:rFonts w:hint="eastAsia" w:ascii="FangSong_GB2312" w:hAnsi="FangSong_GB2312" w:eastAsia="FangSong_GB2312" w:cs="FangSong_GB2312"/>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（五）保障服务大局，全力做好中心工作。</w:t>
      </w:r>
      <w:r>
        <w:rPr>
          <w:rFonts w:hint="eastAsia" w:ascii="FangSong_GB2312" w:hAnsi="FangSong_GB2312" w:eastAsia="FangSong_GB2312" w:cs="FangSong_GB2312"/>
          <w:b/>
          <w:bCs/>
          <w:color w:val="000000"/>
          <w:sz w:val="32"/>
          <w:szCs w:val="32"/>
          <w:lang w:val="en-US" w:eastAsia="zh-CN"/>
        </w:rPr>
        <w:t>一是</w:t>
      </w:r>
      <w:r>
        <w:rPr>
          <w:rFonts w:hint="eastAsia" w:ascii="FangSong_GB2312" w:hAnsi="FangSong_GB2312" w:eastAsia="FangSong_GB2312" w:cs="FangSong_GB2312"/>
          <w:color w:val="000000"/>
          <w:kern w:val="2"/>
          <w:sz w:val="32"/>
          <w:szCs w:val="32"/>
          <w:lang w:val="en-US" w:eastAsia="zh-CN" w:bidi="ar-SA"/>
        </w:rPr>
        <w:t>狠抓招商引资工作。今年成功引进投资1亿元的东塑新材料项目，为企业提供全方面服务，成功实现当年签约当年投资生产；帮助江西骏美包装有限公司成功融资120万元，解决企业资金困难，为企业发展保驾护航。</w:t>
      </w:r>
      <w:r>
        <w:rPr>
          <w:rFonts w:hint="eastAsia" w:ascii="仿宋" w:hAnsi="仿宋" w:eastAsia="仿宋" w:cs="仿宋"/>
          <w:b/>
          <w:bCs/>
          <w:color w:val="000000"/>
          <w:kern w:val="2"/>
          <w:sz w:val="32"/>
          <w:szCs w:val="32"/>
          <w:lang w:val="en-US" w:eastAsia="zh-CN" w:bidi="ar-SA"/>
        </w:rPr>
        <w:t>二是</w:t>
      </w:r>
      <w:r>
        <w:rPr>
          <w:rFonts w:hint="eastAsia" w:ascii="FangSong_GB2312" w:hAnsi="FangSong_GB2312" w:eastAsia="FangSong_GB2312" w:cs="FangSong_GB2312"/>
          <w:color w:val="000000"/>
          <w:kern w:val="2"/>
          <w:sz w:val="32"/>
          <w:szCs w:val="32"/>
          <w:lang w:val="en-US" w:eastAsia="zh-CN" w:bidi="ar-SA"/>
        </w:rPr>
        <w:t>积极做好帮扶共建。为帮扶村、共建社区提供5万元的帮扶经费，组织审计干部定期赴社区开展创文巩卫活动，常态化长效化精细化抓好创建工作。</w:t>
      </w:r>
    </w:p>
    <w:p w14:paraId="52E06F36">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二、收入支出预算执行情况分析</w:t>
      </w:r>
    </w:p>
    <w:bookmarkEnd w:id="1"/>
    <w:p w14:paraId="6EFA4803">
      <w:pPr>
        <w:keepNext w:val="0"/>
        <w:keepLines w:val="0"/>
        <w:pageBreakBefore w:val="0"/>
        <w:kinsoku/>
        <w:wordWrap/>
        <w:overflowPunct/>
        <w:topLinePunct w:val="0"/>
        <w:autoSpaceDE/>
        <w:autoSpaceDN/>
        <w:bidi w:val="0"/>
        <w:adjustRightInd/>
        <w:snapToGrid w:val="0"/>
        <w:spacing w:line="560" w:lineRule="exact"/>
        <w:ind w:firstLine="643" w:firstLineChars="200"/>
        <w:jc w:val="left"/>
        <w:rPr>
          <w:rFonts w:hint="eastAsia" w:ascii="楷体_GB2312" w:hAnsi="仿宋" w:eastAsia="楷体_GB2312" w:cs="Times New Roman"/>
          <w:b w:val="0"/>
          <w:bCs/>
          <w:sz w:val="32"/>
          <w:szCs w:val="32"/>
        </w:rPr>
      </w:pPr>
      <w:r>
        <w:rPr>
          <w:rFonts w:hint="eastAsia" w:ascii="FangSong_GB2312" w:hAnsi="仿宋" w:eastAsia="FangSong_GB2312"/>
          <w:b/>
          <w:sz w:val="32"/>
          <w:szCs w:val="32"/>
          <w:lang w:val="en-US" w:eastAsia="zh-CN"/>
        </w:rPr>
        <w:t>（一）收入支出预算安排情况。</w:t>
      </w:r>
    </w:p>
    <w:p w14:paraId="6140E114">
      <w:pPr>
        <w:ind w:firstLine="600" w:firstLineChars="200"/>
        <w:rPr>
          <w:rFonts w:hint="default" w:ascii="FangSong_GB2312" w:hAnsi="仿宋" w:eastAsia="FangSong_GB2312" w:cs="仿宋"/>
          <w:color w:val="000000"/>
          <w:sz w:val="30"/>
          <w:szCs w:val="30"/>
          <w:lang w:val="en-US" w:eastAsia="zh-CN"/>
        </w:rPr>
      </w:pPr>
      <w:r>
        <w:rPr>
          <w:rFonts w:hint="eastAsia" w:ascii="FangSong_GB2312" w:hAnsi="仿宋" w:eastAsia="FangSong_GB2312" w:cs="Times New Roman"/>
          <w:sz w:val="30"/>
          <w:szCs w:val="30"/>
        </w:rPr>
        <w:t>本部门</w:t>
      </w:r>
      <w:r>
        <w:rPr>
          <w:rFonts w:hint="eastAsia" w:ascii="FangSong_GB2312" w:hAnsi="FangSong_GB2312" w:eastAsia="FangSong_GB2312" w:cs="FangSong_GB2312"/>
          <w:b w:val="0"/>
          <w:bCs/>
          <w:color w:val="000000"/>
          <w:sz w:val="32"/>
          <w:szCs w:val="32"/>
          <w:highlight w:val="none"/>
          <w:lang w:val="en-US" w:eastAsia="zh-CN"/>
        </w:rPr>
        <w:t>本年收入</w:t>
      </w:r>
      <w:r>
        <w:rPr>
          <w:rFonts w:hint="eastAsia" w:ascii="FangSong_GB2312" w:hAnsi="FangSong_GB2312" w:eastAsia="FangSong_GB2312" w:cs="FangSong_GB2312"/>
          <w:color w:val="000000"/>
          <w:sz w:val="32"/>
          <w:szCs w:val="32"/>
          <w:highlight w:val="none"/>
          <w:lang w:val="en-US" w:eastAsia="zh-CN"/>
        </w:rPr>
        <w:t>508.95万元，比上年减少54.38万元，下降9.65%。其中：</w:t>
      </w:r>
      <w:r>
        <w:rPr>
          <w:rFonts w:hint="eastAsia" w:ascii="FangSong_GB2312" w:hAnsi="FangSong_GB2312" w:eastAsia="FangSong_GB2312" w:cs="FangSong_GB2312"/>
          <w:color w:val="000000"/>
          <w:sz w:val="32"/>
          <w:szCs w:val="32"/>
          <w:highlight w:val="none"/>
          <w:u w:val="none"/>
          <w:lang w:val="en-US" w:eastAsia="zh-CN"/>
        </w:rPr>
        <w:t>一般公共预算财政拨款收入</w:t>
      </w:r>
      <w:r>
        <w:rPr>
          <w:rFonts w:hint="eastAsia" w:ascii="FangSong_GB2312" w:hAnsi="FangSong_GB2312" w:eastAsia="FangSong_GB2312" w:cs="FangSong_GB2312"/>
          <w:color w:val="000000"/>
          <w:sz w:val="32"/>
          <w:szCs w:val="32"/>
          <w:highlight w:val="none"/>
          <w:lang w:val="en-US" w:eastAsia="zh-CN"/>
        </w:rPr>
        <w:t>508.95万元，比上年减少54.38万元，下降9.65%，主要原因是：1、2024年人均公用经费标准较2023年下降0.48万元/人；2、</w:t>
      </w:r>
      <w:r>
        <w:rPr>
          <w:rFonts w:hint="eastAsia" w:ascii="FangSong_GB2312" w:hAnsi="FangSong_GB2312" w:eastAsia="FangSong_GB2312" w:cs="FangSong_GB2312"/>
          <w:color w:val="000000"/>
          <w:sz w:val="32"/>
          <w:szCs w:val="32"/>
          <w:highlight w:val="none"/>
          <w:u w:val="none"/>
          <w:lang w:val="en-US" w:eastAsia="zh-CN"/>
        </w:rPr>
        <w:t>一类日常运行经费预算下降；3、二类项目预算下降。</w:t>
      </w:r>
    </w:p>
    <w:p w14:paraId="3BA13279">
      <w:pPr>
        <w:keepNext w:val="0"/>
        <w:keepLines w:val="0"/>
        <w:pageBreakBefore w:val="0"/>
        <w:kinsoku/>
        <w:wordWrap/>
        <w:overflowPunct/>
        <w:topLinePunct w:val="0"/>
        <w:autoSpaceDE/>
        <w:autoSpaceDN/>
        <w:bidi w:val="0"/>
        <w:adjustRightInd/>
        <w:snapToGrid w:val="0"/>
        <w:spacing w:line="560" w:lineRule="exact"/>
        <w:ind w:firstLine="643" w:firstLineChars="200"/>
        <w:jc w:val="left"/>
        <w:rPr>
          <w:rFonts w:hint="eastAsia" w:ascii="楷体_GB2312" w:hAnsi="仿宋" w:eastAsia="楷体_GB2312" w:cs="Times New Roman"/>
          <w:b w:val="0"/>
          <w:bCs/>
          <w:sz w:val="32"/>
          <w:szCs w:val="32"/>
        </w:rPr>
      </w:pPr>
      <w:r>
        <w:rPr>
          <w:rFonts w:hint="eastAsia" w:ascii="FangSong_GB2312" w:hAnsi="仿宋" w:eastAsia="FangSong_GB2312"/>
          <w:b/>
          <w:sz w:val="32"/>
          <w:szCs w:val="32"/>
          <w:lang w:val="en-US" w:eastAsia="zh-CN"/>
        </w:rPr>
        <w:t>（二）收入支出预算执行情况。</w:t>
      </w:r>
    </w:p>
    <w:p w14:paraId="12D83BCE">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FangSong_GB2312" w:hAnsi="FangSong_GB2312" w:eastAsia="FangSong_GB2312" w:cs="FangSong_GB2312"/>
          <w:sz w:val="30"/>
          <w:szCs w:val="30"/>
        </w:rPr>
      </w:pPr>
      <w:r>
        <w:rPr>
          <w:rFonts w:hint="eastAsia" w:ascii="FangSong_GB2312" w:hAnsi="仿宋" w:eastAsia="FangSong_GB2312"/>
          <w:b w:val="0"/>
          <w:bCs/>
          <w:sz w:val="32"/>
          <w:szCs w:val="32"/>
          <w:lang w:val="en-US" w:eastAsia="zh-CN"/>
        </w:rPr>
        <w:t>1.</w:t>
      </w:r>
      <w:r>
        <w:rPr>
          <w:rFonts w:hint="eastAsia" w:ascii="FangSong_GB2312" w:hAnsi="仿宋" w:eastAsia="FangSong_GB2312"/>
          <w:b w:val="0"/>
          <w:bCs/>
          <w:sz w:val="32"/>
          <w:szCs w:val="32"/>
        </w:rPr>
        <w:t>收入支出与预算对比分析。</w:t>
      </w:r>
    </w:p>
    <w:p w14:paraId="14040D05">
      <w:pPr>
        <w:keepLines w:val="0"/>
        <w:pageBreakBefore w:val="0"/>
        <w:kinsoku/>
        <w:wordWrap/>
        <w:overflowPunct/>
        <w:topLinePunct w:val="0"/>
        <w:autoSpaceDE/>
        <w:autoSpaceDN/>
        <w:bidi w:val="0"/>
        <w:adjustRightInd/>
        <w:snapToGrid w:val="0"/>
        <w:spacing w:line="560" w:lineRule="exact"/>
        <w:ind w:firstLine="640" w:firstLineChars="200"/>
        <w:jc w:val="both"/>
        <w:outlineLvl w:val="1"/>
        <w:rPr>
          <w:rFonts w:hint="eastAsia" w:ascii="FangSong_GB2312" w:hAnsi="FangSong_GB2312" w:eastAsia="FangSong_GB2312" w:cs="FangSong_GB2312"/>
          <w:kern w:val="2"/>
          <w:sz w:val="30"/>
          <w:szCs w:val="30"/>
          <w:lang w:val="en-US" w:eastAsia="zh-CN" w:bidi="ar-SA"/>
        </w:rPr>
      </w:pPr>
      <w:r>
        <w:rPr>
          <w:rFonts w:hint="eastAsia" w:ascii="FangSong_GB2312" w:hAnsi="FangSong_GB2312" w:eastAsia="FangSong_GB2312" w:cs="FangSong_GB2312"/>
          <w:color w:val="000000"/>
          <w:sz w:val="32"/>
          <w:szCs w:val="32"/>
          <w:highlight w:val="none"/>
          <w:lang w:val="en-US" w:eastAsia="zh-CN"/>
        </w:rPr>
        <w:t>本单位2024年收支决算总额</w:t>
      </w:r>
      <w:r>
        <w:rPr>
          <w:rFonts w:hint="eastAsia" w:ascii="FangSong_GB2312" w:hAnsi="FangSong_GB2312" w:eastAsia="FangSong_GB2312" w:cs="FangSong_GB2312"/>
          <w:color w:val="000000"/>
          <w:kern w:val="2"/>
          <w:sz w:val="32"/>
          <w:szCs w:val="32"/>
          <w:highlight w:val="none"/>
          <w:u w:val="none"/>
          <w:lang w:val="en-US" w:eastAsia="zh-CN"/>
        </w:rPr>
        <w:t>508.95</w:t>
      </w:r>
      <w:r>
        <w:rPr>
          <w:rFonts w:hint="eastAsia" w:ascii="FangSong_GB2312" w:hAnsi="FangSong_GB2312" w:eastAsia="FangSong_GB2312" w:cs="FangSong_GB2312"/>
          <w:color w:val="000000"/>
          <w:sz w:val="32"/>
          <w:szCs w:val="32"/>
          <w:highlight w:val="none"/>
          <w:lang w:val="en-US" w:eastAsia="zh-CN"/>
        </w:rPr>
        <w:t>万元，</w:t>
      </w:r>
      <w:r>
        <w:rPr>
          <w:rFonts w:hint="eastAsia" w:ascii="FangSong_GB2312" w:hAnsi="FangSong_GB2312" w:eastAsia="FangSong_GB2312" w:cs="FangSong_GB2312"/>
          <w:color w:val="000000"/>
          <w:sz w:val="32"/>
          <w:szCs w:val="32"/>
          <w:highlight w:val="none"/>
          <w:u w:val="none"/>
          <w:lang w:val="en-US" w:eastAsia="zh-CN"/>
        </w:rPr>
        <w:t>比上年减少54.38万元，下降9.65%。</w:t>
      </w:r>
    </w:p>
    <w:p w14:paraId="2709B632">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FangSong_GB2312" w:hAnsi="仿宋" w:eastAsia="FangSong_GB2312" w:cs="Times New Roman"/>
          <w:b w:val="0"/>
          <w:bCs w:val="0"/>
          <w:sz w:val="32"/>
          <w:szCs w:val="32"/>
          <w:lang w:eastAsia="zh-CN"/>
        </w:rPr>
      </w:pPr>
      <w:r>
        <w:rPr>
          <w:rFonts w:hint="eastAsia" w:ascii="FangSong_GB2312" w:hAnsi="仿宋" w:eastAsia="FangSong_GB2312" w:cs="Times New Roman"/>
          <w:b w:val="0"/>
          <w:bCs w:val="0"/>
          <w:sz w:val="32"/>
          <w:szCs w:val="32"/>
          <w:lang w:val="en-US" w:eastAsia="zh-CN"/>
        </w:rPr>
        <w:t>2.</w:t>
      </w:r>
      <w:r>
        <w:rPr>
          <w:rFonts w:hint="eastAsia" w:ascii="FangSong_GB2312" w:hAnsi="仿宋" w:eastAsia="FangSong_GB2312" w:cs="Times New Roman"/>
          <w:b w:val="0"/>
          <w:bCs w:val="0"/>
          <w:sz w:val="32"/>
          <w:szCs w:val="32"/>
          <w:lang w:eastAsia="zh-CN"/>
        </w:rPr>
        <w:t>收入支出与预算对比分析。</w:t>
      </w:r>
    </w:p>
    <w:p w14:paraId="3757F596">
      <w:pPr>
        <w:keepNext w:val="0"/>
        <w:keepLines w:val="0"/>
        <w:pageBreakBefore w:val="0"/>
        <w:kinsoku/>
        <w:wordWrap/>
        <w:overflowPunct/>
        <w:topLinePunct w:val="0"/>
        <w:autoSpaceDE/>
        <w:autoSpaceDN/>
        <w:bidi w:val="0"/>
        <w:adjustRightInd/>
        <w:spacing w:line="560" w:lineRule="exact"/>
        <w:ind w:firstLine="630"/>
        <w:jc w:val="left"/>
        <w:rPr>
          <w:rFonts w:hint="eastAsia" w:ascii="FangSong_GB2312" w:hAnsi="FangSong_GB2312" w:eastAsia="FangSong_GB2312"/>
          <w:color w:val="auto"/>
          <w:sz w:val="30"/>
          <w:szCs w:val="30"/>
          <w:lang w:val="en-US" w:eastAsia="zh-CN"/>
        </w:rPr>
      </w:pPr>
      <w:r>
        <w:rPr>
          <w:rFonts w:hint="eastAsia" w:ascii="FangSong_GB2312" w:hAnsi="仿宋" w:eastAsia="FangSong_GB2312"/>
          <w:color w:val="auto"/>
          <w:sz w:val="30"/>
          <w:szCs w:val="30"/>
        </w:rPr>
        <w:t>（1）</w:t>
      </w:r>
      <w:r>
        <w:rPr>
          <w:rFonts w:hint="eastAsia" w:ascii="FangSong_GB2312" w:hAnsi="FangSong_GB2312" w:eastAsia="FangSong_GB2312" w:cs="FangSong_GB2312"/>
          <w:b w:val="0"/>
          <w:bCs/>
          <w:color w:val="000000"/>
          <w:sz w:val="32"/>
          <w:szCs w:val="32"/>
          <w:highlight w:val="none"/>
          <w:lang w:val="en-US" w:eastAsia="zh-CN"/>
        </w:rPr>
        <w:t>收入总额</w:t>
      </w:r>
      <w:r>
        <w:rPr>
          <w:rFonts w:hint="eastAsia" w:ascii="FangSong_GB2312" w:hAnsi="FangSong_GB2312" w:eastAsia="FangSong_GB2312" w:cs="FangSong_GB2312"/>
          <w:b w:val="0"/>
          <w:bCs w:val="0"/>
          <w:color w:val="000000"/>
          <w:kern w:val="2"/>
          <w:sz w:val="32"/>
          <w:szCs w:val="32"/>
          <w:highlight w:val="none"/>
          <w:lang w:val="en-US" w:eastAsia="zh-CN" w:bidi="ar-SA"/>
        </w:rPr>
        <w:t>508.95</w:t>
      </w:r>
      <w:r>
        <w:rPr>
          <w:rFonts w:hint="eastAsia" w:ascii="FangSong_GB2312" w:hAnsi="FangSong_GB2312" w:eastAsia="FangSong_GB2312" w:cs="FangSong_GB2312"/>
          <w:color w:val="000000"/>
          <w:sz w:val="32"/>
          <w:szCs w:val="32"/>
          <w:highlight w:val="none"/>
          <w:lang w:val="en-US" w:eastAsia="zh-CN"/>
        </w:rPr>
        <w:t>万元，比年初预算减少125.63万元，下降19.80%。其中本年收入</w:t>
      </w:r>
      <w:r>
        <w:rPr>
          <w:rFonts w:hint="eastAsia" w:ascii="FangSong_GB2312" w:hAnsi="FangSong_GB2312" w:eastAsia="FangSong_GB2312" w:cs="FangSong_GB2312"/>
          <w:b w:val="0"/>
          <w:bCs w:val="0"/>
          <w:color w:val="000000"/>
          <w:kern w:val="2"/>
          <w:sz w:val="32"/>
          <w:szCs w:val="32"/>
          <w:highlight w:val="none"/>
          <w:lang w:val="en-US" w:eastAsia="zh-CN" w:bidi="ar-SA"/>
        </w:rPr>
        <w:t>508.95</w:t>
      </w:r>
      <w:r>
        <w:rPr>
          <w:rFonts w:hint="eastAsia" w:ascii="FangSong_GB2312" w:hAnsi="FangSong_GB2312" w:eastAsia="FangSong_GB2312" w:cs="FangSong_GB2312"/>
          <w:color w:val="000000"/>
          <w:sz w:val="32"/>
          <w:szCs w:val="32"/>
          <w:highlight w:val="none"/>
          <w:lang w:val="en-US" w:eastAsia="zh-CN"/>
        </w:rPr>
        <w:t>万元，比年初预算减少125.63万元，下降19.80%。</w:t>
      </w:r>
    </w:p>
    <w:p w14:paraId="58DFD888">
      <w:pPr>
        <w:keepNext w:val="0"/>
        <w:keepLines w:val="0"/>
        <w:pageBreakBefore w:val="0"/>
        <w:numPr>
          <w:ilvl w:val="0"/>
          <w:numId w:val="0"/>
        </w:numPr>
        <w:kinsoku/>
        <w:wordWrap/>
        <w:overflowPunct/>
        <w:topLinePunct w:val="0"/>
        <w:autoSpaceDE/>
        <w:autoSpaceDN/>
        <w:bidi w:val="0"/>
        <w:adjustRightInd/>
        <w:snapToGrid w:val="0"/>
        <w:spacing w:line="560" w:lineRule="exact"/>
        <w:ind w:firstLineChars="200"/>
        <w:jc w:val="left"/>
        <w:rPr>
          <w:rFonts w:ascii="FangSong_GB2312" w:hAnsi="仿宋" w:eastAsia="FangSong_GB2312"/>
          <w:sz w:val="30"/>
          <w:szCs w:val="30"/>
        </w:rPr>
      </w:pPr>
      <w:r>
        <w:rPr>
          <w:rFonts w:hint="eastAsia" w:ascii="FangSong_GB2312" w:hAnsi="仿宋"/>
          <w:color w:val="auto"/>
          <w:sz w:val="30"/>
          <w:szCs w:val="30"/>
          <w:lang w:val="en-US" w:eastAsia="zh-CN"/>
        </w:rPr>
        <w:t>（</w:t>
      </w:r>
      <w:r>
        <w:rPr>
          <w:rFonts w:hint="default" w:ascii="FangSong_GB2312" w:hAnsi="仿宋" w:eastAsia="FangSong_GB2312"/>
          <w:color w:val="auto"/>
          <w:sz w:val="30"/>
          <w:szCs w:val="30"/>
          <w:lang w:val="en-US"/>
        </w:rPr>
        <w:t>2）</w:t>
      </w:r>
      <w:r>
        <w:rPr>
          <w:rFonts w:hint="eastAsia" w:ascii="FangSong_GB2312" w:hAnsi="仿宋" w:eastAsia="FangSong_GB2312"/>
          <w:sz w:val="30"/>
          <w:szCs w:val="30"/>
        </w:rPr>
        <w:t>收入支出按部门所属单位分布情况。</w:t>
      </w:r>
    </w:p>
    <w:p w14:paraId="7F752F5E">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rPr>
          <w:rFonts w:ascii="FangSong_GB2312" w:hAnsi="仿宋" w:eastAsia="FangSong_GB2312"/>
          <w:sz w:val="30"/>
          <w:szCs w:val="30"/>
        </w:rPr>
      </w:pPr>
      <w:r>
        <w:rPr>
          <w:rFonts w:ascii="FangSong_GB2312" w:hAnsi="仿宋" w:eastAsia="FangSong_GB2312"/>
          <w:sz w:val="30"/>
          <w:szCs w:val="30"/>
          <w:lang w:val="en-US"/>
        </w:rPr>
        <w:t>本部门汇总单位1个，为</w:t>
      </w:r>
      <w:r>
        <w:rPr>
          <w:rFonts w:hint="eastAsia" w:ascii="FangSong_GB2312" w:hAnsi="仿宋" w:eastAsia="FangSong_GB2312"/>
          <w:sz w:val="30"/>
          <w:szCs w:val="30"/>
          <w:lang w:val="en-US" w:eastAsia="zh-CN"/>
        </w:rPr>
        <w:t>共青城市审计局</w:t>
      </w:r>
      <w:r>
        <w:rPr>
          <w:rFonts w:ascii="FangSong_GB2312" w:hAnsi="仿宋" w:eastAsia="FangSong_GB2312"/>
          <w:sz w:val="30"/>
          <w:szCs w:val="30"/>
          <w:lang w:val="en-US"/>
        </w:rPr>
        <w:t>。</w:t>
      </w:r>
    </w:p>
    <w:p w14:paraId="49B74615">
      <w:pPr>
        <w:keepNext w:val="0"/>
        <w:keepLines w:val="0"/>
        <w:pageBreakBefore w:val="0"/>
        <w:numPr>
          <w:ilvl w:val="0"/>
          <w:numId w:val="0"/>
        </w:numPr>
        <w:kinsoku/>
        <w:wordWrap/>
        <w:overflowPunct/>
        <w:topLinePunct w:val="0"/>
        <w:autoSpaceDE/>
        <w:autoSpaceDN/>
        <w:bidi w:val="0"/>
        <w:adjustRightInd/>
        <w:snapToGrid w:val="0"/>
        <w:spacing w:line="560" w:lineRule="exact"/>
        <w:ind w:left="600" w:leftChars="0"/>
        <w:jc w:val="left"/>
        <w:rPr>
          <w:rFonts w:hint="default" w:ascii="FangSong_GB2312" w:hAnsi="仿宋" w:eastAsia="FangSong_GB2312"/>
          <w:sz w:val="30"/>
          <w:szCs w:val="30"/>
          <w:lang w:val="en-US"/>
        </w:rPr>
      </w:pPr>
      <w:r>
        <w:rPr>
          <w:rFonts w:hint="eastAsia" w:ascii="FangSong_GB2312" w:hAnsi="仿宋"/>
          <w:sz w:val="30"/>
          <w:szCs w:val="30"/>
          <w:lang w:eastAsia="zh-CN"/>
        </w:rPr>
        <w:t>（</w:t>
      </w:r>
      <w:r>
        <w:rPr>
          <w:rFonts w:hint="eastAsia" w:ascii="FangSong_GB2312" w:hAnsi="仿宋"/>
          <w:sz w:val="30"/>
          <w:szCs w:val="30"/>
          <w:lang w:val="en-US" w:eastAsia="zh-CN"/>
        </w:rPr>
        <w:t>3</w:t>
      </w:r>
      <w:r>
        <w:rPr>
          <w:rFonts w:hint="eastAsia" w:ascii="FangSong_GB2312" w:hAnsi="仿宋"/>
          <w:sz w:val="30"/>
          <w:szCs w:val="30"/>
          <w:lang w:eastAsia="zh-CN"/>
        </w:rPr>
        <w:t>）</w:t>
      </w:r>
      <w:r>
        <w:rPr>
          <w:rFonts w:hint="eastAsia" w:ascii="FangSong_GB2312" w:hAnsi="仿宋" w:eastAsia="FangSong_GB2312"/>
          <w:sz w:val="30"/>
          <w:szCs w:val="30"/>
        </w:rPr>
        <w:t>收入支出与上年度对比情况及原因分析</w:t>
      </w:r>
      <w:r>
        <w:rPr>
          <w:rFonts w:hint="default" w:ascii="FangSong_GB2312" w:hAnsi="仿宋" w:eastAsia="FangSong_GB2312"/>
          <w:sz w:val="30"/>
          <w:szCs w:val="30"/>
          <w:lang w:val="en-US"/>
        </w:rPr>
        <w:t>。</w:t>
      </w:r>
    </w:p>
    <w:p w14:paraId="571C11A5">
      <w:pPr>
        <w:ind w:firstLine="640" w:firstLineChars="200"/>
        <w:rPr>
          <w:rFonts w:hint="eastAsia" w:ascii="FangSong_GB2312" w:hAnsi="FangSong_GB2312" w:eastAsia="FangSong_GB2312" w:cs="FangSong_GB2312"/>
          <w:sz w:val="30"/>
          <w:szCs w:val="30"/>
          <w:lang w:val="en-US" w:eastAsia="zh-CN"/>
        </w:rPr>
      </w:pPr>
      <w:r>
        <w:rPr>
          <w:rFonts w:hint="eastAsia" w:ascii="FangSong_GB2312" w:hAnsi="FangSong_GB2312" w:eastAsia="FangSong_GB2312" w:cs="FangSong_GB2312"/>
          <w:b w:val="0"/>
          <w:bCs/>
          <w:color w:val="000000"/>
          <w:sz w:val="32"/>
          <w:szCs w:val="32"/>
          <w:highlight w:val="none"/>
          <w:lang w:val="en-US" w:eastAsia="zh-CN"/>
        </w:rPr>
        <w:t>收入总额</w:t>
      </w:r>
      <w:r>
        <w:rPr>
          <w:rFonts w:hint="eastAsia" w:ascii="FangSong_GB2312" w:hAnsi="FangSong_GB2312" w:eastAsia="FangSong_GB2312" w:cs="FangSong_GB2312"/>
          <w:color w:val="000000"/>
          <w:sz w:val="32"/>
          <w:szCs w:val="32"/>
          <w:highlight w:val="none"/>
          <w:lang w:val="en-US" w:eastAsia="zh-CN"/>
        </w:rPr>
        <w:t>508.95万元，比上年减少54.38万元，下降9.65%。其中本年收入508.95万元，比上年减少54.38万元，下降9.65%。</w:t>
      </w:r>
    </w:p>
    <w:p w14:paraId="1B01452B">
      <w:pPr>
        <w:keepNext w:val="0"/>
        <w:keepLines w:val="0"/>
        <w:pageBreakBefore w:val="0"/>
        <w:numPr>
          <w:ilvl w:val="0"/>
          <w:numId w:val="2"/>
        </w:numPr>
        <w:kinsoku/>
        <w:wordWrap/>
        <w:overflowPunct/>
        <w:topLinePunct w:val="0"/>
        <w:autoSpaceDE/>
        <w:autoSpaceDN/>
        <w:bidi w:val="0"/>
        <w:adjustRightInd/>
        <w:snapToGrid w:val="0"/>
        <w:spacing w:line="560" w:lineRule="exact"/>
        <w:ind w:firstLine="640" w:firstLineChars="200"/>
        <w:jc w:val="left"/>
        <w:rPr>
          <w:rFonts w:hint="eastAsia" w:ascii="FangSong_GB2312" w:hAnsi="仿宋" w:eastAsia="FangSong_GB2312" w:cs="Times New Roman"/>
          <w:b w:val="0"/>
          <w:bCs w:val="0"/>
          <w:sz w:val="32"/>
          <w:szCs w:val="32"/>
        </w:rPr>
      </w:pPr>
      <w:r>
        <w:rPr>
          <w:rFonts w:hint="eastAsia" w:ascii="FangSong_GB2312" w:hAnsi="仿宋" w:eastAsia="FangSong_GB2312" w:cs="Times New Roman"/>
          <w:b w:val="0"/>
          <w:bCs w:val="0"/>
          <w:sz w:val="32"/>
          <w:szCs w:val="32"/>
        </w:rPr>
        <w:t>支出按经济分类科目分析。</w:t>
      </w:r>
    </w:p>
    <w:p w14:paraId="1E57FD8F">
      <w:pPr>
        <w:keepLines w:val="0"/>
        <w:pageBreakBefore w:val="0"/>
        <w:kinsoku/>
        <w:wordWrap/>
        <w:overflowPunct/>
        <w:topLinePunct w:val="0"/>
        <w:autoSpaceDE/>
        <w:autoSpaceDN/>
        <w:bidi w:val="0"/>
        <w:adjustRightInd/>
        <w:spacing w:line="560" w:lineRule="exact"/>
        <w:ind w:firstLine="640" w:firstLineChars="200"/>
        <w:jc w:val="both"/>
        <w:rPr>
          <w:rFonts w:hint="eastAsia" w:ascii="FangSong_GB2312" w:hAnsi="FangSong_GB2312" w:eastAsia="FangSong_GB2312" w:cs="FangSong_GB2312"/>
          <w:color w:val="000000"/>
          <w:sz w:val="32"/>
          <w:szCs w:val="32"/>
          <w:highlight w:val="none"/>
          <w:lang w:val="en-US" w:eastAsia="zh-CN"/>
        </w:rPr>
      </w:pPr>
      <w:r>
        <w:rPr>
          <w:rFonts w:hint="eastAsia" w:ascii="FangSong_GB2312" w:hAnsi="FangSong_GB2312" w:eastAsia="FangSong_GB2312" w:cs="FangSong_GB2312"/>
          <w:b w:val="0"/>
          <w:bCs/>
          <w:color w:val="000000"/>
          <w:sz w:val="32"/>
          <w:szCs w:val="32"/>
          <w:highlight w:val="none"/>
          <w:lang w:val="en-US" w:eastAsia="zh-CN"/>
        </w:rPr>
        <w:t>本年支出</w:t>
      </w:r>
      <w:r>
        <w:rPr>
          <w:rFonts w:hint="eastAsia" w:ascii="FangSong_GB2312" w:hAnsi="FangSong_GB2312" w:eastAsia="FangSong_GB2312" w:cs="FangSong_GB2312"/>
          <w:color w:val="000000"/>
          <w:kern w:val="2"/>
          <w:sz w:val="32"/>
          <w:szCs w:val="32"/>
          <w:highlight w:val="none"/>
          <w:lang w:val="en-US" w:eastAsia="zh-CN"/>
        </w:rPr>
        <w:t>508.95</w:t>
      </w:r>
      <w:r>
        <w:rPr>
          <w:rFonts w:hint="eastAsia" w:ascii="FangSong_GB2312" w:hAnsi="FangSong_GB2312" w:eastAsia="FangSong_GB2312" w:cs="FangSong_GB2312"/>
          <w:color w:val="000000"/>
          <w:sz w:val="32"/>
          <w:szCs w:val="32"/>
          <w:highlight w:val="none"/>
          <w:lang w:val="en-US" w:eastAsia="zh-CN"/>
        </w:rPr>
        <w:t>万元，按部门预算支出经济分类科目分，各项支出如下：</w:t>
      </w:r>
    </w:p>
    <w:tbl>
      <w:tblPr>
        <w:tblStyle w:val="13"/>
        <w:tblW w:w="7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40"/>
        <w:gridCol w:w="1595"/>
        <w:gridCol w:w="1672"/>
        <w:gridCol w:w="1083"/>
        <w:gridCol w:w="1230"/>
      </w:tblGrid>
      <w:tr w14:paraId="4E6BF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234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1F14F8">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支出经济分类科目</w:t>
            </w:r>
          </w:p>
        </w:tc>
        <w:tc>
          <w:tcPr>
            <w:tcW w:w="1595" w:type="dxa"/>
            <w:vMerge w:val="restart"/>
            <w:tcBorders>
              <w:top w:val="single" w:color="000000" w:sz="4" w:space="0"/>
              <w:left w:val="single" w:color="000000" w:sz="4" w:space="0"/>
              <w:bottom w:val="nil"/>
              <w:right w:val="single" w:color="000000" w:sz="4" w:space="0"/>
            </w:tcBorders>
            <w:noWrap/>
            <w:tcMar>
              <w:top w:w="15" w:type="dxa"/>
              <w:left w:w="15" w:type="dxa"/>
              <w:bottom w:w="0" w:type="dxa"/>
              <w:right w:w="15" w:type="dxa"/>
            </w:tcMar>
            <w:vAlign w:val="center"/>
          </w:tcPr>
          <w:p w14:paraId="7C83FC97">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支出金额（万元）</w:t>
            </w:r>
          </w:p>
        </w:tc>
        <w:tc>
          <w:tcPr>
            <w:tcW w:w="2755"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18DE71A">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其中：财政拨款安排</w:t>
            </w:r>
          </w:p>
        </w:tc>
        <w:tc>
          <w:tcPr>
            <w:tcW w:w="12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CA3E284">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比上年增减（%）</w:t>
            </w:r>
          </w:p>
        </w:tc>
      </w:tr>
      <w:tr w14:paraId="2854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234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948DDAE">
            <w:pPr>
              <w:keepLines w:val="0"/>
              <w:pageBreakBefore w:val="0"/>
              <w:kinsoku/>
              <w:wordWrap/>
              <w:overflowPunct/>
              <w:topLinePunct w:val="0"/>
              <w:autoSpaceDE/>
              <w:autoSpaceDN/>
              <w:bidi w:val="0"/>
              <w:adjustRightInd/>
              <w:spacing w:line="560" w:lineRule="exact"/>
              <w:jc w:val="center"/>
              <w:rPr>
                <w:rFonts w:hint="eastAsia" w:ascii="FangSong_GB2312" w:hAnsi="宋体" w:eastAsia="FangSong_GB2312" w:cs="FangSong_GB2312"/>
                <w:i w:val="0"/>
                <w:color w:val="000000"/>
                <w:sz w:val="20"/>
                <w:szCs w:val="20"/>
                <w:u w:val="none"/>
                <w:lang w:val="en-US" w:eastAsia="zh-CN"/>
              </w:rPr>
            </w:pPr>
          </w:p>
        </w:tc>
        <w:tc>
          <w:tcPr>
            <w:tcW w:w="1595" w:type="dxa"/>
            <w:vMerge w:val="continue"/>
            <w:tcBorders>
              <w:top w:val="single" w:color="000000" w:sz="4" w:space="0"/>
              <w:left w:val="single" w:color="000000" w:sz="4" w:space="0"/>
              <w:bottom w:val="nil"/>
              <w:right w:val="single" w:color="000000" w:sz="4" w:space="0"/>
            </w:tcBorders>
            <w:noWrap/>
            <w:tcMar>
              <w:top w:w="15" w:type="dxa"/>
              <w:left w:w="15" w:type="dxa"/>
              <w:bottom w:w="0" w:type="dxa"/>
              <w:right w:w="15" w:type="dxa"/>
            </w:tcMar>
            <w:vAlign w:val="center"/>
          </w:tcPr>
          <w:p w14:paraId="6F0393B6">
            <w:pPr>
              <w:keepLines w:val="0"/>
              <w:pageBreakBefore w:val="0"/>
              <w:kinsoku/>
              <w:wordWrap/>
              <w:overflowPunct/>
              <w:topLinePunct w:val="0"/>
              <w:autoSpaceDE/>
              <w:autoSpaceDN/>
              <w:bidi w:val="0"/>
              <w:adjustRightInd/>
              <w:spacing w:line="560" w:lineRule="exact"/>
              <w:jc w:val="center"/>
              <w:rPr>
                <w:rFonts w:hint="eastAsia" w:ascii="FangSong_GB2312" w:hAnsi="宋体" w:eastAsia="FangSong_GB2312" w:cs="FangSong_GB2312"/>
                <w:i w:val="0"/>
                <w:color w:val="000000"/>
                <w:sz w:val="20"/>
                <w:szCs w:val="20"/>
                <w:u w:val="none"/>
                <w:lang w:val="en-US" w:eastAsia="zh-CN"/>
              </w:rPr>
            </w:pP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CD34CA4">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支出金额（万元）</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A98B89C">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占比（%）</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4705513">
            <w:pPr>
              <w:keepLines w:val="0"/>
              <w:pageBreakBefore w:val="0"/>
              <w:kinsoku/>
              <w:wordWrap/>
              <w:overflowPunct/>
              <w:topLinePunct w:val="0"/>
              <w:autoSpaceDE/>
              <w:autoSpaceDN/>
              <w:bidi w:val="0"/>
              <w:adjustRightInd/>
              <w:spacing w:line="560" w:lineRule="exact"/>
              <w:jc w:val="center"/>
              <w:rPr>
                <w:rFonts w:hint="eastAsia" w:ascii="FangSong_GB2312" w:hAnsi="宋体" w:eastAsia="FangSong_GB2312" w:cs="FangSong_GB2312"/>
                <w:i w:val="0"/>
                <w:color w:val="000000"/>
                <w:sz w:val="20"/>
                <w:szCs w:val="20"/>
                <w:u w:val="none"/>
                <w:lang w:val="en-US" w:eastAsia="zh-CN"/>
              </w:rPr>
            </w:pPr>
          </w:p>
        </w:tc>
      </w:tr>
      <w:tr w14:paraId="1F55C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23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5C33B26">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工资福利支出</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FB4C16C">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325.72</w:t>
            </w: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4558E41">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325.72</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F8C238F">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100.00</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7AE91D7">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9.06</w:t>
            </w:r>
          </w:p>
        </w:tc>
      </w:tr>
      <w:tr w14:paraId="45F23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23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208C198">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商品和服务支出</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81E181">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176.92</w:t>
            </w: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9EBFD1C">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176.92</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E82CD8A">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100.00</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AC1F6A6">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-29.85</w:t>
            </w:r>
          </w:p>
        </w:tc>
      </w:tr>
      <w:tr w14:paraId="47416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23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F0D26D5">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对个人和家庭的补助</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F12BBB1">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1.31</w:t>
            </w: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D783D79">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1.31</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A195A96">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100.00</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CBB43A6">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5.13</w:t>
            </w:r>
          </w:p>
        </w:tc>
      </w:tr>
      <w:tr w14:paraId="119D4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23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751F354">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债务利息及费用支出</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FB4EB6D">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3950B30">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30625DF">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8D91DB4">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r>
      <w:tr w14:paraId="4FF03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jc w:val="center"/>
        </w:trPr>
        <w:tc>
          <w:tcPr>
            <w:tcW w:w="23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369D2B9">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资本性支出（基本建设）</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5EA8BF0">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C1BE6F1">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526016B">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AA47F5B">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r>
      <w:tr w14:paraId="7580E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23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CB1C173">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资本性支出</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82AD69C">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6A167A9">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0589013">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20ED664">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-100.00</w:t>
            </w:r>
          </w:p>
        </w:tc>
      </w:tr>
      <w:tr w14:paraId="51BA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23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3E8BD0">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对企业补助（基本建设）</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F7AED2">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2772748">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901C6F">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89A86E8">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r>
      <w:tr w14:paraId="5F34B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23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E8CCCB">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对企业补助</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1E6AC3C">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CC3001C">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D1D0DFA">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85E27D8">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r>
      <w:tr w14:paraId="1F9C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23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6B2478C">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对社会保障基金补助</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17B72D6">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7C95C40">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12D91A5">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A25ED1E">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r>
      <w:tr w14:paraId="6C49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23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BB88947">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其他支出</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5A4EBFE">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5.00</w:t>
            </w: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1CE969A">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5.00</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C5F79EE">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100.00</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345BE1B">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0.00</w:t>
            </w:r>
          </w:p>
        </w:tc>
      </w:tr>
      <w:tr w14:paraId="757AC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234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19066C5">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kern w:val="0"/>
                <w:sz w:val="20"/>
                <w:szCs w:val="20"/>
                <w:u w:val="none"/>
                <w:lang w:val="en-US" w:eastAsia="zh-CN" w:bidi="ar"/>
              </w:rPr>
              <w:t>合计</w:t>
            </w:r>
          </w:p>
        </w:tc>
        <w:tc>
          <w:tcPr>
            <w:tcW w:w="1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74814AC">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508.95</w:t>
            </w:r>
          </w:p>
        </w:tc>
        <w:tc>
          <w:tcPr>
            <w:tcW w:w="16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6A3A767">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508.95</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91FE58">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100.00</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9A6D28D">
            <w:pPr>
              <w:keepLines w:val="0"/>
              <w:pageBreakBefore w:val="0"/>
              <w:kinsoku/>
              <w:wordWrap/>
              <w:overflowPunct/>
              <w:topLinePunct w:val="0"/>
              <w:autoSpaceDE/>
              <w:autoSpaceDN/>
              <w:bidi w:val="0"/>
              <w:adjustRightInd/>
              <w:spacing w:line="560" w:lineRule="exact"/>
              <w:jc w:val="right"/>
              <w:rPr>
                <w:rFonts w:hint="eastAsia" w:ascii="FangSong_GB2312" w:hAnsi="宋体" w:eastAsia="FangSong_GB2312" w:cs="FangSong_GB2312"/>
                <w:i w:val="0"/>
                <w:color w:val="000000"/>
                <w:sz w:val="20"/>
                <w:szCs w:val="20"/>
                <w:u w:val="none"/>
                <w:lang w:val="en-US" w:eastAsia="zh-CN"/>
              </w:rPr>
            </w:pPr>
            <w:r>
              <w:rPr>
                <w:rFonts w:hint="eastAsia" w:ascii="FangSong_GB2312" w:hAnsi="宋体" w:eastAsia="FangSong_GB2312" w:cs="FangSong_GB2312"/>
                <w:i w:val="0"/>
                <w:color w:val="000000"/>
                <w:sz w:val="20"/>
                <w:szCs w:val="20"/>
                <w:u w:val="none"/>
                <w:lang w:val="en-US" w:eastAsia="zh-CN"/>
              </w:rPr>
              <w:t>-9.65</w:t>
            </w:r>
          </w:p>
        </w:tc>
      </w:tr>
    </w:tbl>
    <w:p w14:paraId="14CCEC4A">
      <w:pPr>
        <w:keepLines w:val="0"/>
        <w:pageBreakBefore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（1）“三公”经费支出情况。</w:t>
      </w:r>
    </w:p>
    <w:p w14:paraId="1A266BCC">
      <w:pPr>
        <w:keepLines w:val="0"/>
        <w:pageBreakBefore w:val="0"/>
        <w:kinsoku/>
        <w:wordWrap/>
        <w:overflowPunct/>
        <w:topLinePunct w:val="0"/>
        <w:autoSpaceDE/>
        <w:autoSpaceDN/>
        <w:bidi w:val="0"/>
        <w:adjustRightInd/>
        <w:snapToGrid w:val="0"/>
        <w:spacing w:line="560" w:lineRule="exact"/>
        <w:ind w:firstLine="640" w:firstLineChars="200"/>
        <w:jc w:val="both"/>
        <w:outlineLvl w:val="1"/>
        <w:rPr>
          <w:rFonts w:hint="eastAsia" w:ascii="FangSong_GB2312" w:hAnsi="FangSong_GB2312" w:eastAsia="FangSong_GB2312" w:cs="FangSong_GB2312"/>
          <w:color w:val="000000"/>
          <w:sz w:val="32"/>
          <w:szCs w:val="32"/>
          <w:highlight w:val="none"/>
          <w:lang w:val="en-US" w:eastAsia="zh-CN"/>
        </w:rPr>
      </w:pPr>
      <w:r>
        <w:rPr>
          <w:rFonts w:hint="eastAsia" w:ascii="FangSong_GB2312" w:hAnsi="FangSong_GB2312" w:eastAsia="FangSong_GB2312" w:cs="FangSong_GB2312"/>
          <w:b w:val="0"/>
          <w:bCs w:val="0"/>
          <w:color w:val="000000"/>
          <w:sz w:val="32"/>
          <w:szCs w:val="32"/>
          <w:highlight w:val="none"/>
          <w:lang w:val="en-US" w:eastAsia="zh-CN"/>
        </w:rPr>
        <w:t>全口径“三公”经费支出</w:t>
      </w:r>
      <w:r>
        <w:rPr>
          <w:rFonts w:hint="eastAsia" w:ascii="FangSong_GB2312" w:hAnsi="FangSong_GB2312" w:eastAsia="FangSong_GB2312" w:cs="FangSong_GB2312"/>
          <w:color w:val="000000"/>
          <w:sz w:val="32"/>
          <w:szCs w:val="32"/>
          <w:highlight w:val="none"/>
          <w:lang w:val="en-US" w:eastAsia="zh-CN"/>
        </w:rPr>
        <w:t>4.94万元，其中财政拨款安排“三公”经费支出4.94万元，非财政拨款安排“三公”经费支出0.00万元。</w:t>
      </w:r>
    </w:p>
    <w:p w14:paraId="38E81DF8">
      <w:pPr>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（2）会议费支出情况。</w:t>
      </w:r>
    </w:p>
    <w:p w14:paraId="1D79C138">
      <w:pPr>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default" w:ascii="FangSong_GB2312" w:hAnsi="仿宋" w:eastAsia="FangSong_GB2312" w:cs="Times New Roman"/>
          <w:b w:val="0"/>
          <w:bCs w:val="0"/>
          <w:color w:val="000000"/>
          <w:sz w:val="32"/>
          <w:szCs w:val="32"/>
          <w:highlight w:val="none"/>
          <w:lang w:val="en-US" w:eastAsia="zh-CN"/>
        </w:rPr>
      </w:pPr>
      <w:r>
        <w:rPr>
          <w:rFonts w:hint="eastAsia" w:ascii="FangSong_GB2312" w:hAnsi="FangSong_GB2312" w:eastAsia="FangSong_GB2312" w:cs="FangSong_GB2312"/>
          <w:b w:val="0"/>
          <w:bCs w:val="0"/>
          <w:color w:val="000000"/>
          <w:sz w:val="32"/>
          <w:szCs w:val="32"/>
          <w:highlight w:val="none"/>
          <w:lang w:val="en-US" w:eastAsia="zh-CN"/>
        </w:rPr>
        <w:t>会议费0.65万元（其中财政拨款安排0.65万元，非财政拨款安排0.00万元），比上年增加0.65万元，人均支出（按编制内实有人数计算，下同）0.05万元，变动的主要原因是：</w:t>
      </w:r>
      <w:r>
        <w:rPr>
          <w:rFonts w:hint="eastAsia" w:ascii="FangSong_GB2312" w:hAnsi="FangSong_GB2312" w:eastAsia="FangSong_GB2312" w:cs="FangSong_GB2312"/>
          <w:b w:val="0"/>
          <w:bCs w:val="0"/>
          <w:color w:val="000000"/>
          <w:kern w:val="2"/>
          <w:sz w:val="32"/>
          <w:szCs w:val="32"/>
          <w:lang w:val="en-US" w:eastAsia="zh-CN" w:bidi="ar-SA"/>
        </w:rPr>
        <w:t xml:space="preserve">召开了社会中介服务机构管理工作会议，会议要求各公司加强联动协作，形成工作合力、加强队伍建设，提升审计能力，守牢廉洁底线，更好地助力审计监督。 </w:t>
      </w:r>
    </w:p>
    <w:p w14:paraId="5287219A">
      <w:pPr>
        <w:keepLines w:val="0"/>
        <w:pageBreakBefore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（3）培训费支出情况。</w:t>
      </w:r>
    </w:p>
    <w:p w14:paraId="15C0AA21">
      <w:pPr>
        <w:keepLines w:val="0"/>
        <w:pageBreakBefore w:val="0"/>
        <w:kinsoku/>
        <w:wordWrap/>
        <w:overflowPunct/>
        <w:topLinePunct w:val="0"/>
        <w:autoSpaceDE/>
        <w:autoSpaceDN/>
        <w:bidi w:val="0"/>
        <w:adjustRightInd/>
        <w:spacing w:line="560" w:lineRule="exact"/>
        <w:ind w:firstLine="640" w:firstLineChars="200"/>
        <w:jc w:val="both"/>
        <w:rPr>
          <w:rFonts w:hint="eastAsia" w:ascii="FangSong_GB2312" w:hAnsi="FangSong_GB2312" w:eastAsia="FangSong_GB2312" w:cs="FangSong_GB2312"/>
          <w:b w:val="0"/>
          <w:bCs w:val="0"/>
          <w:color w:val="000000"/>
          <w:sz w:val="32"/>
          <w:szCs w:val="32"/>
          <w:highlight w:val="none"/>
          <w:lang w:val="en-US" w:eastAsia="zh-CN"/>
        </w:rPr>
      </w:pPr>
      <w:r>
        <w:rPr>
          <w:rFonts w:hint="eastAsia" w:ascii="FangSong_GB2312" w:hAnsi="FangSong_GB2312" w:eastAsia="FangSong_GB2312" w:cs="FangSong_GB2312"/>
          <w:b w:val="0"/>
          <w:bCs w:val="0"/>
          <w:color w:val="000000"/>
          <w:sz w:val="32"/>
          <w:szCs w:val="32"/>
          <w:highlight w:val="none"/>
          <w:lang w:val="en-US" w:eastAsia="zh-CN"/>
        </w:rPr>
        <w:t>培训费0.00万元（其中财政拨款安排0.00万元，非财政拨款安排0.00万元），与上年持平，人均支出0.00万元。</w:t>
      </w:r>
    </w:p>
    <w:p w14:paraId="1E6C98A6">
      <w:pPr>
        <w:keepLines w:val="0"/>
        <w:pageBreakBefore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（4）差旅费支出情况。</w:t>
      </w:r>
    </w:p>
    <w:p w14:paraId="00B261F7">
      <w:pPr>
        <w:keepLines w:val="0"/>
        <w:pageBreakBefore w:val="0"/>
        <w:kinsoku/>
        <w:wordWrap/>
        <w:overflowPunct/>
        <w:topLinePunct w:val="0"/>
        <w:autoSpaceDE/>
        <w:autoSpaceDN/>
        <w:bidi w:val="0"/>
        <w:adjustRightInd/>
        <w:spacing w:line="560" w:lineRule="exact"/>
        <w:ind w:firstLine="640" w:firstLineChars="200"/>
        <w:jc w:val="both"/>
        <w:rPr>
          <w:rFonts w:hint="eastAsia" w:ascii="FangSong_GB2312" w:hAnsi="仿宋" w:eastAsia="FangSong_GB2312" w:cs="Times New Roman"/>
          <w:color w:val="000000"/>
          <w:sz w:val="32"/>
          <w:szCs w:val="32"/>
          <w:highlight w:val="none"/>
          <w:lang w:val="en-US" w:eastAsia="zh-CN"/>
        </w:rPr>
      </w:pPr>
      <w:r>
        <w:rPr>
          <w:rFonts w:hint="eastAsia" w:ascii="FangSong_GB2312" w:hAnsi="仿宋" w:eastAsia="FangSong_GB2312" w:cs="Times New Roman"/>
          <w:b w:val="0"/>
          <w:bCs w:val="0"/>
          <w:color w:val="000000"/>
          <w:sz w:val="32"/>
          <w:szCs w:val="32"/>
          <w:highlight w:val="none"/>
          <w:lang w:val="en-US" w:eastAsia="zh-CN"/>
        </w:rPr>
        <w:t>差旅费</w:t>
      </w:r>
      <w:r>
        <w:rPr>
          <w:rFonts w:hint="eastAsia" w:ascii="FangSong_GB2312" w:hAnsi="仿宋" w:eastAsia="FangSong_GB2312" w:cs="Times New Roman"/>
          <w:color w:val="000000"/>
          <w:sz w:val="32"/>
          <w:szCs w:val="32"/>
          <w:highlight w:val="none"/>
          <w:lang w:val="en-US" w:eastAsia="zh-CN"/>
        </w:rPr>
        <w:t>9.82</w:t>
      </w:r>
      <w:r>
        <w:rPr>
          <w:rFonts w:hint="eastAsia" w:ascii="FangSong_GB2312" w:hAnsi="仿宋" w:eastAsia="FangSong_GB2312"/>
          <w:color w:val="000000"/>
          <w:sz w:val="32"/>
          <w:szCs w:val="32"/>
          <w:highlight w:val="none"/>
          <w:lang w:val="en-US" w:eastAsia="zh-CN"/>
        </w:rPr>
        <w:t>万元（其中财政拨款安排</w:t>
      </w:r>
      <w:r>
        <w:rPr>
          <w:rFonts w:hint="eastAsia" w:ascii="FangSong_GB2312" w:hAnsi="仿宋" w:eastAsia="FangSong_GB2312" w:cs="Times New Roman"/>
          <w:color w:val="000000"/>
          <w:sz w:val="32"/>
          <w:szCs w:val="32"/>
          <w:highlight w:val="none"/>
          <w:lang w:val="en-US" w:eastAsia="zh-CN"/>
        </w:rPr>
        <w:t>9.82</w:t>
      </w:r>
      <w:r>
        <w:rPr>
          <w:rFonts w:hint="eastAsia" w:ascii="FangSong_GB2312" w:hAnsi="仿宋" w:eastAsia="FangSong_GB2312"/>
          <w:color w:val="000000"/>
          <w:sz w:val="32"/>
          <w:szCs w:val="32"/>
          <w:highlight w:val="none"/>
          <w:lang w:val="en-US" w:eastAsia="zh-CN"/>
        </w:rPr>
        <w:t>万元，非财政拨款安排</w:t>
      </w:r>
      <w:r>
        <w:rPr>
          <w:rFonts w:hint="eastAsia" w:ascii="FangSong_GB2312" w:hAnsi="仿宋" w:eastAsia="FangSong_GB2312" w:cs="Times New Roman"/>
          <w:color w:val="000000"/>
          <w:sz w:val="32"/>
          <w:szCs w:val="32"/>
          <w:highlight w:val="none"/>
          <w:lang w:val="en-US" w:eastAsia="zh-CN"/>
        </w:rPr>
        <w:t>0.00</w:t>
      </w:r>
      <w:r>
        <w:rPr>
          <w:rFonts w:hint="eastAsia" w:ascii="FangSong_GB2312" w:hAnsi="仿宋" w:eastAsia="FangSong_GB2312"/>
          <w:color w:val="000000"/>
          <w:sz w:val="32"/>
          <w:szCs w:val="32"/>
          <w:highlight w:val="none"/>
          <w:lang w:val="en-US" w:eastAsia="zh-CN"/>
        </w:rPr>
        <w:t>万元），比上年增加4.29万元，增长77.48%</w:t>
      </w:r>
      <w:r>
        <w:rPr>
          <w:rFonts w:hint="eastAsia" w:ascii="宋体" w:hAnsi="宋体" w:eastAsia="宋体" w:cs="宋体"/>
          <w:color w:val="000000"/>
          <w:sz w:val="36"/>
          <w:szCs w:val="36"/>
          <w:highlight w:val="none"/>
          <w:lang w:val="en-US" w:eastAsia="zh-CN"/>
        </w:rPr>
        <w:t>，</w:t>
      </w:r>
      <w:r>
        <w:rPr>
          <w:rFonts w:hint="eastAsia" w:ascii="FangSong_GB2312" w:hAnsi="仿宋" w:eastAsia="FangSong_GB2312" w:cs="Times New Roman"/>
          <w:color w:val="000000"/>
          <w:sz w:val="32"/>
          <w:szCs w:val="32"/>
          <w:highlight w:val="none"/>
          <w:lang w:val="en-US" w:eastAsia="zh-CN"/>
        </w:rPr>
        <w:t>人均支出0.76</w:t>
      </w:r>
      <w:r>
        <w:rPr>
          <w:rFonts w:hint="eastAsia" w:ascii="FangSong_GB2312" w:hAnsi="仿宋" w:eastAsia="FangSong_GB2312"/>
          <w:color w:val="000000"/>
          <w:sz w:val="32"/>
          <w:szCs w:val="32"/>
          <w:highlight w:val="none"/>
          <w:lang w:val="en-US" w:eastAsia="zh-CN"/>
        </w:rPr>
        <w:t>万元</w:t>
      </w:r>
      <w:r>
        <w:rPr>
          <w:rFonts w:hint="eastAsia" w:ascii="FangSong_GB2312" w:hAnsi="仿宋" w:eastAsia="FangSong_GB2312" w:cs="Times New Roman"/>
          <w:color w:val="000000"/>
          <w:sz w:val="32"/>
          <w:szCs w:val="32"/>
          <w:highlight w:val="none"/>
          <w:lang w:val="en-US" w:eastAsia="zh-CN"/>
        </w:rPr>
        <w:t>，变动的主要原因是：1、根据工作安排2024年招商组团工作的差旅费用在本单位报账；2、</w:t>
      </w:r>
      <w:r>
        <w:rPr>
          <w:rFonts w:hint="eastAsia" w:ascii="FangSong_GB2312" w:hAnsi="仿宋" w:eastAsia="FangSong_GB2312"/>
          <w:b w:val="0"/>
          <w:bCs w:val="0"/>
          <w:color w:val="000000"/>
          <w:sz w:val="32"/>
          <w:szCs w:val="32"/>
          <w:highlight w:val="none"/>
          <w:lang w:val="en-US" w:eastAsia="zh-CN"/>
        </w:rPr>
        <w:t>本单位</w:t>
      </w:r>
      <w:r>
        <w:rPr>
          <w:rFonts w:hint="eastAsia" w:ascii="FangSong_GB2312" w:hAnsi="FangSong_GB2312" w:eastAsia="FangSong_GB2312" w:cs="FangSong_GB2312"/>
          <w:color w:val="000000"/>
          <w:kern w:val="2"/>
          <w:sz w:val="32"/>
          <w:szCs w:val="32"/>
          <w:lang w:val="en-US" w:eastAsia="zh-CN" w:bidi="ar-SA"/>
        </w:rPr>
        <w:t>选派4名优秀审计干部赴省厅、市局参与审计项目，学习优秀审计理念和方法。</w:t>
      </w:r>
    </w:p>
    <w:p w14:paraId="0B4E4B66">
      <w:pPr>
        <w:keepLines w:val="0"/>
        <w:pageBreakBefore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（5）其他对单位影响较大的支出情况。</w:t>
      </w:r>
    </w:p>
    <w:p w14:paraId="4F9006F8">
      <w:pPr>
        <w:keepLines w:val="0"/>
        <w:pageBreakBefore w:val="0"/>
        <w:kinsoku/>
        <w:wordWrap/>
        <w:overflowPunct/>
        <w:topLinePunct w:val="0"/>
        <w:autoSpaceDE/>
        <w:autoSpaceDN/>
        <w:bidi w:val="0"/>
        <w:adjustRightInd/>
        <w:snapToGrid w:val="0"/>
        <w:spacing w:line="560" w:lineRule="exact"/>
        <w:ind w:firstLine="640" w:firstLineChars="200"/>
        <w:jc w:val="both"/>
        <w:outlineLvl w:val="1"/>
        <w:rPr>
          <w:rFonts w:hint="eastAsia" w:ascii="FangSong_GB2312" w:hAnsi="仿宋" w:eastAsia="FangSong_GB2312" w:cs="Times New Roman"/>
          <w:b w:val="0"/>
          <w:bCs w:val="0"/>
          <w:sz w:val="32"/>
          <w:szCs w:val="32"/>
        </w:rPr>
      </w:pPr>
      <w:r>
        <w:rPr>
          <w:rFonts w:hint="eastAsia" w:ascii="仿宋" w:hAnsi="仿宋" w:eastAsia="仿宋" w:cs="仿宋"/>
          <w:b w:val="0"/>
          <w:bCs w:val="0"/>
          <w:i w:val="0"/>
          <w:color w:val="000000"/>
          <w:kern w:val="0"/>
          <w:sz w:val="32"/>
          <w:szCs w:val="32"/>
          <w:u w:val="none"/>
          <w:lang w:val="en-US" w:eastAsia="zh-CN" w:bidi="ar"/>
        </w:rPr>
        <w:t>一般公共服务</w:t>
      </w:r>
      <w:r>
        <w:rPr>
          <w:rFonts w:hint="eastAsia" w:ascii="仿宋" w:hAnsi="仿宋" w:eastAsia="仿宋" w:cs="仿宋"/>
          <w:b w:val="0"/>
          <w:bCs w:val="0"/>
          <w:color w:val="000000"/>
          <w:sz w:val="32"/>
          <w:szCs w:val="32"/>
          <w:highlight w:val="none"/>
          <w:lang w:val="en-US" w:eastAsia="zh-CN"/>
        </w:rPr>
        <w:t>支出</w:t>
      </w:r>
      <w:r>
        <w:rPr>
          <w:rFonts w:hint="eastAsia" w:ascii="FangSong_GB2312" w:hAnsi="仿宋" w:eastAsia="FangSong_GB2312" w:cs="Times New Roman"/>
          <w:b w:val="0"/>
          <w:bCs w:val="0"/>
          <w:color w:val="000000"/>
          <w:sz w:val="32"/>
          <w:szCs w:val="32"/>
          <w:highlight w:val="none"/>
          <w:lang w:val="en-US" w:eastAsia="zh-CN"/>
        </w:rPr>
        <w:t>460.15万元，占本年支出比重90.41%，比上年增长11.89%，主要原因是：本单位审计业务支出，资金性质为</w:t>
      </w:r>
      <w:r>
        <w:rPr>
          <w:rFonts w:hint="eastAsia" w:ascii="仿宋" w:hAnsi="仿宋" w:eastAsia="仿宋" w:cs="仿宋"/>
          <w:i w:val="0"/>
          <w:color w:val="000000"/>
          <w:kern w:val="0"/>
          <w:sz w:val="32"/>
          <w:szCs w:val="32"/>
          <w:u w:val="none"/>
          <w:lang w:val="en-US" w:eastAsia="zh-CN" w:bidi="ar"/>
        </w:rPr>
        <w:t>一般公共服务</w:t>
      </w:r>
      <w:r>
        <w:rPr>
          <w:rFonts w:hint="eastAsia" w:ascii="仿宋" w:hAnsi="仿宋" w:eastAsia="仿宋" w:cs="仿宋"/>
          <w:b w:val="0"/>
          <w:bCs w:val="0"/>
          <w:color w:val="000000"/>
          <w:sz w:val="32"/>
          <w:szCs w:val="32"/>
          <w:highlight w:val="none"/>
          <w:lang w:val="en-US" w:eastAsia="zh-CN"/>
        </w:rPr>
        <w:t>支出。</w:t>
      </w:r>
    </w:p>
    <w:p w14:paraId="2B012042">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三、绩效目标完成情况</w:t>
      </w:r>
    </w:p>
    <w:p w14:paraId="2A67FE6F">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FangSong_GB2312" w:hAnsi="仿宋" w:eastAsia="FangSong_GB2312" w:cs="Times New Roman"/>
          <w:sz w:val="32"/>
          <w:szCs w:val="32"/>
          <w:lang w:eastAsia="zh-CN"/>
        </w:rPr>
      </w:pPr>
      <w:r>
        <w:rPr>
          <w:rFonts w:hint="eastAsia" w:ascii="FangSong_GB2312" w:hAnsi="仿宋" w:eastAsia="FangSong_GB2312" w:cs="Times New Roman"/>
          <w:sz w:val="32"/>
          <w:szCs w:val="32"/>
          <w:lang w:val="en-US" w:eastAsia="zh-CN"/>
        </w:rPr>
        <w:t>本部门高度重视预算绩效管理工作，认真按照时间节点完成各项目进行绩效评价，严格按照实际情况设计项目绩效指标和年度目标，2024年总体绩效工作完成较好。</w:t>
      </w:r>
    </w:p>
    <w:p w14:paraId="33DDBD8D">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FangSong_GB2312" w:hAnsi="仿宋" w:eastAsia="FangSong_GB2312" w:cs="Times New Roman"/>
          <w:sz w:val="32"/>
          <w:szCs w:val="32"/>
          <w:lang w:eastAsia="zh-CN"/>
        </w:rPr>
      </w:pPr>
      <w:r>
        <w:rPr>
          <w:rFonts w:hint="eastAsia" w:ascii="FangSong_GB2312" w:hAnsi="仿宋" w:eastAsia="FangSong_GB2312" w:cs="Times New Roman"/>
          <w:sz w:val="32"/>
          <w:szCs w:val="32"/>
          <w:lang w:val="en-US" w:eastAsia="zh-CN"/>
        </w:rPr>
        <w:t>整体绩效目标实现。</w:t>
      </w:r>
    </w:p>
    <w:p w14:paraId="1729DE14">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楷体_GB2312" w:hAnsi="仿宋" w:eastAsia="黑体" w:cs="Times New Roman"/>
          <w:b w:val="0"/>
          <w:bCs/>
          <w:sz w:val="32"/>
          <w:szCs w:val="32"/>
          <w:lang w:eastAsia="zh-CN"/>
        </w:rPr>
      </w:pPr>
      <w:r>
        <w:rPr>
          <w:rFonts w:hint="eastAsia" w:ascii="黑体" w:hAnsi="黑体" w:eastAsia="黑体" w:cs="Times New Roman"/>
          <w:sz w:val="32"/>
          <w:szCs w:val="32"/>
          <w:lang w:eastAsia="zh-CN"/>
        </w:rPr>
        <w:t>四、</w:t>
      </w:r>
      <w:r>
        <w:rPr>
          <w:rFonts w:hint="eastAsia" w:ascii="黑体" w:hAnsi="黑体" w:eastAsia="黑体" w:cs="Times New Roman"/>
          <w:sz w:val="32"/>
          <w:szCs w:val="32"/>
        </w:rPr>
        <w:t>当年预算执行及绩效管理中存在问题、原因及改进措施</w:t>
      </w:r>
    </w:p>
    <w:p w14:paraId="760027A2">
      <w:pPr>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（一）存在问题。</w:t>
      </w:r>
    </w:p>
    <w:p w14:paraId="3812DA25">
      <w:pPr>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rPr>
          <w:rFonts w:hint="default" w:ascii="FangSong_GB2312" w:hAnsi="仿宋" w:eastAsia="FangSong_GB2312"/>
          <w:color w:val="000000"/>
          <w:sz w:val="32"/>
          <w:szCs w:val="32"/>
          <w:highlight w:val="none"/>
          <w:lang w:val="en-US" w:eastAsia="zh-CN"/>
        </w:rPr>
      </w:pPr>
      <w:r>
        <w:rPr>
          <w:rFonts w:hint="default" w:ascii="FangSong_GB2312" w:hAnsi="仿宋" w:eastAsia="FangSong_GB2312"/>
          <w:color w:val="000000"/>
          <w:sz w:val="32"/>
          <w:szCs w:val="32"/>
          <w:highlight w:val="none"/>
          <w:lang w:val="en-US" w:eastAsia="zh-CN"/>
        </w:rPr>
        <w:t>绩效主体意识不强、绩效管理形式大于内容。绩效目标编制不科学、质量不高。</w:t>
      </w:r>
    </w:p>
    <w:p w14:paraId="28958D40">
      <w:pPr>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（二）主要成因。</w:t>
      </w:r>
    </w:p>
    <w:p w14:paraId="3831568F">
      <w:pPr>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rPr>
          <w:rFonts w:hint="eastAsia" w:ascii="FangSong_GB2312" w:hAnsi="仿宋" w:eastAsia="FangSong_GB2312" w:cs="Times New Roman"/>
          <w:color w:val="000000"/>
          <w:sz w:val="32"/>
          <w:szCs w:val="32"/>
          <w:highlight w:val="none"/>
          <w:lang w:val="en-US" w:eastAsia="zh-CN"/>
        </w:rPr>
      </w:pPr>
      <w:r>
        <w:rPr>
          <w:rFonts w:hint="default" w:ascii="FangSong_GB2312" w:hAnsi="仿宋" w:eastAsia="FangSong_GB2312"/>
          <w:color w:val="000000"/>
          <w:sz w:val="32"/>
          <w:szCs w:val="32"/>
          <w:highlight w:val="none"/>
          <w:lang w:val="en-US" w:eastAsia="zh-CN"/>
        </w:rPr>
        <w:t>绩效管理体制、机制还不健全。一是协调机制不够健全。绝大多数单位把绩效管理工作只落实到财务人员头上，单位内部没有建立绩效评价协调机制，而财务人员对绩效指标的一些基础数据、信息资料不是很清楚，存在被动应付现象。二是绩效激励约束机制尚未建立。绩效结果与预算安排和政策调整的挂钩机制尚未建立，预算绩效管理对优化财政资源配置和提高政府效能的作用没有充分发挥。</w:t>
      </w:r>
    </w:p>
    <w:p w14:paraId="5857B397">
      <w:pPr>
        <w:keepLines w:val="0"/>
        <w:pageBreakBefore w:val="0"/>
        <w:kinsoku/>
        <w:wordWrap/>
        <w:overflowPunct/>
        <w:topLinePunct w:val="0"/>
        <w:autoSpaceDE/>
        <w:autoSpaceDN/>
        <w:bidi w:val="0"/>
        <w:adjustRightInd/>
        <w:snapToGrid w:val="0"/>
        <w:spacing w:line="560" w:lineRule="exact"/>
        <w:ind w:firstLine="640" w:firstLineChars="200"/>
        <w:jc w:val="both"/>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（三）改进措施。</w:t>
      </w:r>
    </w:p>
    <w:p w14:paraId="4C1E4C11">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center"/>
        <w:rPr>
          <w:color w:val="0000FF"/>
          <w:sz w:val="30"/>
          <w:szCs w:val="30"/>
        </w:rPr>
      </w:pPr>
      <w:r>
        <w:rPr>
          <w:rFonts w:hint="default" w:ascii="FangSong_GB2312" w:hAnsi="仿宋" w:eastAsia="FangSong_GB2312"/>
          <w:color w:val="000000"/>
          <w:sz w:val="32"/>
          <w:szCs w:val="32"/>
          <w:highlight w:val="none"/>
          <w:lang w:val="en-US" w:eastAsia="zh-CN"/>
        </w:rPr>
        <w:t>强化绩效理念，深入推进评价工作。进一步加强各科室绩效管理理念，健全完善评价机制，切实加强组织领导，深入推进评价工作，提升整体绩效管理水平。</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EBB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217F910">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7217F91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03394"/>
    <w:multiLevelType w:val="singleLevel"/>
    <w:tmpl w:val="B2403394"/>
    <w:lvl w:ilvl="0" w:tentative="0">
      <w:start w:val="2"/>
      <w:numFmt w:val="chineseCounting"/>
      <w:suff w:val="nothing"/>
      <w:lvlText w:val="（%1）"/>
      <w:lvlJc w:val="left"/>
      <w:rPr>
        <w:rFonts w:hint="eastAsia"/>
      </w:rPr>
    </w:lvl>
  </w:abstractNum>
  <w:abstractNum w:abstractNumId="1">
    <w:nsid w:val="E46B66B9"/>
    <w:multiLevelType w:val="singleLevel"/>
    <w:tmpl w:val="E46B66B9"/>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NGI4OTc3NDBjZTc2MTM4ZjRkYjBlNjQ1MGEwZDkifQ=="/>
  </w:docVars>
  <w:rsids>
    <w:rsidRoot w:val="00272B54"/>
    <w:rsid w:val="00031059"/>
    <w:rsid w:val="00074FA4"/>
    <w:rsid w:val="00082750"/>
    <w:rsid w:val="000A54B9"/>
    <w:rsid w:val="000F42C9"/>
    <w:rsid w:val="0013603C"/>
    <w:rsid w:val="00176422"/>
    <w:rsid w:val="001E23E6"/>
    <w:rsid w:val="002133B7"/>
    <w:rsid w:val="00232DC7"/>
    <w:rsid w:val="002345E5"/>
    <w:rsid w:val="002425BC"/>
    <w:rsid w:val="002567AE"/>
    <w:rsid w:val="00272B54"/>
    <w:rsid w:val="00290AF5"/>
    <w:rsid w:val="002B2F71"/>
    <w:rsid w:val="002B650F"/>
    <w:rsid w:val="002B7EE1"/>
    <w:rsid w:val="00310A92"/>
    <w:rsid w:val="003147DF"/>
    <w:rsid w:val="00320541"/>
    <w:rsid w:val="003A54B7"/>
    <w:rsid w:val="00410C5B"/>
    <w:rsid w:val="0042226A"/>
    <w:rsid w:val="00433CE9"/>
    <w:rsid w:val="0045143B"/>
    <w:rsid w:val="004B15C5"/>
    <w:rsid w:val="004B22CE"/>
    <w:rsid w:val="004F25BC"/>
    <w:rsid w:val="00577156"/>
    <w:rsid w:val="005B48AC"/>
    <w:rsid w:val="005D567F"/>
    <w:rsid w:val="006037EF"/>
    <w:rsid w:val="00613BAD"/>
    <w:rsid w:val="00683C98"/>
    <w:rsid w:val="00765932"/>
    <w:rsid w:val="00790985"/>
    <w:rsid w:val="007D4386"/>
    <w:rsid w:val="007E1898"/>
    <w:rsid w:val="007E3EC5"/>
    <w:rsid w:val="007E481C"/>
    <w:rsid w:val="009B4682"/>
    <w:rsid w:val="009C1DEC"/>
    <w:rsid w:val="00A736FE"/>
    <w:rsid w:val="00A83E83"/>
    <w:rsid w:val="00AB5562"/>
    <w:rsid w:val="00B51C6A"/>
    <w:rsid w:val="00B703A0"/>
    <w:rsid w:val="00BA172B"/>
    <w:rsid w:val="00C42EF8"/>
    <w:rsid w:val="00C513CE"/>
    <w:rsid w:val="00DD0A01"/>
    <w:rsid w:val="00DE6817"/>
    <w:rsid w:val="00DE6B08"/>
    <w:rsid w:val="00E0221D"/>
    <w:rsid w:val="00E23C6D"/>
    <w:rsid w:val="00EC1D23"/>
    <w:rsid w:val="00EE5DF5"/>
    <w:rsid w:val="00F24DA3"/>
    <w:rsid w:val="00F522B7"/>
    <w:rsid w:val="00F813BE"/>
    <w:rsid w:val="01911C45"/>
    <w:rsid w:val="025C14B4"/>
    <w:rsid w:val="0475649F"/>
    <w:rsid w:val="04D64020"/>
    <w:rsid w:val="06DC2725"/>
    <w:rsid w:val="07053AED"/>
    <w:rsid w:val="07D829EE"/>
    <w:rsid w:val="087D7BCD"/>
    <w:rsid w:val="08C7279C"/>
    <w:rsid w:val="094B2B37"/>
    <w:rsid w:val="09B931C3"/>
    <w:rsid w:val="0A2001F9"/>
    <w:rsid w:val="0A536BBA"/>
    <w:rsid w:val="0C2B4087"/>
    <w:rsid w:val="0C763290"/>
    <w:rsid w:val="0D2232AF"/>
    <w:rsid w:val="0D292DC9"/>
    <w:rsid w:val="0DE620DB"/>
    <w:rsid w:val="0DFC074D"/>
    <w:rsid w:val="0E3746E5"/>
    <w:rsid w:val="0EBC3908"/>
    <w:rsid w:val="0F930041"/>
    <w:rsid w:val="0FA925D4"/>
    <w:rsid w:val="0FE7187E"/>
    <w:rsid w:val="1025513D"/>
    <w:rsid w:val="109A1CE2"/>
    <w:rsid w:val="111558CA"/>
    <w:rsid w:val="111F7999"/>
    <w:rsid w:val="14230C1E"/>
    <w:rsid w:val="14CF3A4E"/>
    <w:rsid w:val="15AE7540"/>
    <w:rsid w:val="172D2117"/>
    <w:rsid w:val="178F0716"/>
    <w:rsid w:val="181D494B"/>
    <w:rsid w:val="18CC74BB"/>
    <w:rsid w:val="193957B5"/>
    <w:rsid w:val="1A592CB1"/>
    <w:rsid w:val="1B79633D"/>
    <w:rsid w:val="1C486913"/>
    <w:rsid w:val="1C983FDF"/>
    <w:rsid w:val="1F47275D"/>
    <w:rsid w:val="200A1C59"/>
    <w:rsid w:val="20990E39"/>
    <w:rsid w:val="209C651B"/>
    <w:rsid w:val="20AF6CDA"/>
    <w:rsid w:val="20CE0ED9"/>
    <w:rsid w:val="22200DEB"/>
    <w:rsid w:val="225E1546"/>
    <w:rsid w:val="22A77C33"/>
    <w:rsid w:val="23C80C72"/>
    <w:rsid w:val="242157C3"/>
    <w:rsid w:val="24612064"/>
    <w:rsid w:val="25124128"/>
    <w:rsid w:val="25930E2E"/>
    <w:rsid w:val="25D6438C"/>
    <w:rsid w:val="268A6C3D"/>
    <w:rsid w:val="270D3A88"/>
    <w:rsid w:val="279369D8"/>
    <w:rsid w:val="27E86E87"/>
    <w:rsid w:val="2A016B5D"/>
    <w:rsid w:val="2A54003E"/>
    <w:rsid w:val="2AE035DC"/>
    <w:rsid w:val="2C5D5B5E"/>
    <w:rsid w:val="2E7035CF"/>
    <w:rsid w:val="2EE242B4"/>
    <w:rsid w:val="306456D5"/>
    <w:rsid w:val="311D7312"/>
    <w:rsid w:val="31A970FC"/>
    <w:rsid w:val="33D74D57"/>
    <w:rsid w:val="34C330E2"/>
    <w:rsid w:val="356B6E12"/>
    <w:rsid w:val="36440F97"/>
    <w:rsid w:val="369A6B16"/>
    <w:rsid w:val="36FB1EA4"/>
    <w:rsid w:val="39624B73"/>
    <w:rsid w:val="39E66E3B"/>
    <w:rsid w:val="3B64270E"/>
    <w:rsid w:val="3B9257F6"/>
    <w:rsid w:val="3BAD3BC7"/>
    <w:rsid w:val="3C4A5AC4"/>
    <w:rsid w:val="3C6F43E1"/>
    <w:rsid w:val="3D932EB5"/>
    <w:rsid w:val="3E391743"/>
    <w:rsid w:val="3EED17D0"/>
    <w:rsid w:val="3F7B7B8A"/>
    <w:rsid w:val="3FF1653A"/>
    <w:rsid w:val="42E16F95"/>
    <w:rsid w:val="43D43720"/>
    <w:rsid w:val="43F85648"/>
    <w:rsid w:val="44557B02"/>
    <w:rsid w:val="44A07E8D"/>
    <w:rsid w:val="45F20BC8"/>
    <w:rsid w:val="48733F90"/>
    <w:rsid w:val="49D30BCF"/>
    <w:rsid w:val="4A200170"/>
    <w:rsid w:val="4AE73990"/>
    <w:rsid w:val="4C7B3413"/>
    <w:rsid w:val="4C9B1D30"/>
    <w:rsid w:val="4D0E2598"/>
    <w:rsid w:val="4E61488B"/>
    <w:rsid w:val="4E710E5F"/>
    <w:rsid w:val="4EBF4A75"/>
    <w:rsid w:val="50964002"/>
    <w:rsid w:val="50B11D6C"/>
    <w:rsid w:val="50DD469C"/>
    <w:rsid w:val="51E23F34"/>
    <w:rsid w:val="524E3378"/>
    <w:rsid w:val="52DD489B"/>
    <w:rsid w:val="544D0C05"/>
    <w:rsid w:val="55944CBE"/>
    <w:rsid w:val="55EF4903"/>
    <w:rsid w:val="566A2F17"/>
    <w:rsid w:val="57441E9D"/>
    <w:rsid w:val="576D42A0"/>
    <w:rsid w:val="583203B4"/>
    <w:rsid w:val="58D8399B"/>
    <w:rsid w:val="5C422697"/>
    <w:rsid w:val="5DAB371E"/>
    <w:rsid w:val="5F0E7032"/>
    <w:rsid w:val="5F1F2324"/>
    <w:rsid w:val="5F2660D0"/>
    <w:rsid w:val="5F7C67F7"/>
    <w:rsid w:val="5FC90344"/>
    <w:rsid w:val="5FF649EF"/>
    <w:rsid w:val="611D21BB"/>
    <w:rsid w:val="63353194"/>
    <w:rsid w:val="63DC2E08"/>
    <w:rsid w:val="642230A6"/>
    <w:rsid w:val="64236D8C"/>
    <w:rsid w:val="650603D1"/>
    <w:rsid w:val="65200D42"/>
    <w:rsid w:val="6635242D"/>
    <w:rsid w:val="66E363ED"/>
    <w:rsid w:val="67A36FC6"/>
    <w:rsid w:val="68476448"/>
    <w:rsid w:val="688B27D8"/>
    <w:rsid w:val="696B7548"/>
    <w:rsid w:val="69715E72"/>
    <w:rsid w:val="69731BEA"/>
    <w:rsid w:val="6ABB15B5"/>
    <w:rsid w:val="6B4052E2"/>
    <w:rsid w:val="6C080040"/>
    <w:rsid w:val="6CD02EB0"/>
    <w:rsid w:val="6D294566"/>
    <w:rsid w:val="6E7D57A6"/>
    <w:rsid w:val="6EA27A4F"/>
    <w:rsid w:val="6EB74327"/>
    <w:rsid w:val="6FED0497"/>
    <w:rsid w:val="6FF9E0B5"/>
    <w:rsid w:val="707F5C6B"/>
    <w:rsid w:val="73C0287A"/>
    <w:rsid w:val="74402821"/>
    <w:rsid w:val="748E15A9"/>
    <w:rsid w:val="756248C1"/>
    <w:rsid w:val="760A0DBB"/>
    <w:rsid w:val="76476F5D"/>
    <w:rsid w:val="77F64CB4"/>
    <w:rsid w:val="78DD0B58"/>
    <w:rsid w:val="79372D25"/>
    <w:rsid w:val="7A9E41B4"/>
    <w:rsid w:val="7AC1448B"/>
    <w:rsid w:val="7ACA4189"/>
    <w:rsid w:val="7ADD4C1C"/>
    <w:rsid w:val="7B852CE6"/>
    <w:rsid w:val="7EDB4EF0"/>
    <w:rsid w:val="7F2E7865"/>
    <w:rsid w:val="EFFFCEB4"/>
    <w:rsid w:val="FD4F4D1E"/>
    <w:rsid w:val="FF8B0B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First Indent"/>
    <w:basedOn w:val="3"/>
    <w:qFormat/>
    <w:uiPriority w:val="0"/>
    <w:pPr>
      <w:spacing w:after="0"/>
      <w:ind w:firstLine="420"/>
    </w:pPr>
    <w:rPr>
      <w:rFonts w:ascii="Times New Roman" w:hAnsi="Times New Roman"/>
      <w:sz w:val="32"/>
    </w:rPr>
  </w:style>
  <w:style w:type="paragraph" w:styleId="5">
    <w:name w:val="Body Text Indent"/>
    <w:basedOn w:val="1"/>
    <w:qFormat/>
    <w:uiPriority w:val="0"/>
    <w:pPr>
      <w:widowControl w:val="0"/>
      <w:ind w:firstLine="540"/>
      <w:jc w:val="both"/>
    </w:pPr>
    <w:rPr>
      <w:rFonts w:ascii="Times New Roman" w:hAnsi="Times New Roman" w:eastAsia="宋体" w:cs="Times New Roman"/>
      <w:kern w:val="2"/>
      <w:sz w:val="30"/>
      <w:lang w:val="en-US" w:eastAsia="zh-CN" w:bidi="ar-SA"/>
    </w:rPr>
  </w:style>
  <w:style w:type="paragraph" w:styleId="6">
    <w:name w:val="Body Text Indent 2"/>
    <w:basedOn w:val="1"/>
    <w:qFormat/>
    <w:uiPriority w:val="99"/>
    <w:pPr>
      <w:spacing w:after="120" w:line="480" w:lineRule="auto"/>
      <w:ind w:left="420" w:leftChars="200" w:firstLine="200" w:firstLineChars="200"/>
    </w:pPr>
    <w:rPr>
      <w:rFonts w:eastAsia="FangSong_GB2312"/>
    </w:rPr>
  </w:style>
  <w:style w:type="paragraph" w:styleId="7">
    <w:name w:val="Balloon Text"/>
    <w:basedOn w:val="1"/>
    <w:link w:val="15"/>
    <w:qFormat/>
    <w:uiPriority w:val="0"/>
    <w:rPr>
      <w:sz w:val="18"/>
      <w:szCs w:val="18"/>
    </w:r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jc w:val="left"/>
    </w:pPr>
    <w:rPr>
      <w:sz w:val="18"/>
      <w:szCs w:val="18"/>
    </w:rPr>
  </w:style>
  <w:style w:type="paragraph" w:styleId="11">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5"/>
    <w:qFormat/>
    <w:uiPriority w:val="0"/>
    <w:pPr>
      <w:widowControl w:val="0"/>
      <w:ind w:firstLine="420" w:firstLineChars="200"/>
      <w:jc w:val="both"/>
    </w:pPr>
    <w:rPr>
      <w:rFonts w:ascii="Times New Roman" w:hAnsi="Times New Roman" w:eastAsia="宋体" w:cs="Times New Roman"/>
      <w:kern w:val="2"/>
      <w:sz w:val="30"/>
      <w:lang w:val="en-US" w:eastAsia="zh-CN" w:bidi="ar-SA"/>
    </w:rPr>
  </w:style>
  <w:style w:type="character" w:customStyle="1" w:styleId="15">
    <w:name w:val="批注框文本 字符"/>
    <w:link w:val="7"/>
    <w:qFormat/>
    <w:uiPriority w:val="0"/>
    <w:rPr>
      <w:kern w:val="2"/>
      <w:sz w:val="18"/>
      <w:szCs w:val="18"/>
    </w:rPr>
  </w:style>
  <w:style w:type="character" w:customStyle="1" w:styleId="16">
    <w:name w:val="页脚 字符"/>
    <w:link w:val="8"/>
    <w:qFormat/>
    <w:uiPriority w:val="0"/>
    <w:rPr>
      <w:kern w:val="2"/>
      <w:sz w:val="18"/>
      <w:szCs w:val="18"/>
    </w:rPr>
  </w:style>
  <w:style w:type="character" w:customStyle="1" w:styleId="17">
    <w:name w:val="页眉 字符"/>
    <w:link w:val="9"/>
    <w:qFormat/>
    <w:uiPriority w:val="0"/>
    <w:rPr>
      <w:kern w:val="2"/>
      <w:sz w:val="18"/>
      <w:szCs w:val="18"/>
    </w:rPr>
  </w:style>
  <w:style w:type="paragraph" w:customStyle="1" w:styleId="18">
    <w:name w:val="p0"/>
    <w:basedOn w:val="1"/>
    <w:qFormat/>
    <w:uiPriority w:val="0"/>
    <w:pPr>
      <w:widowControl/>
    </w:pPr>
    <w:rPr>
      <w:kern w:val="0"/>
      <w:szCs w:val="21"/>
    </w:rPr>
  </w:style>
  <w:style w:type="paragraph" w:styleId="19">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1523</Words>
  <Characters>1538</Characters>
  <Lines>16</Lines>
  <Paragraphs>4</Paragraphs>
  <TotalTime>21</TotalTime>
  <ScaleCrop>false</ScaleCrop>
  <LinksUpToDate>false</LinksUpToDate>
  <CharactersWithSpaces>1538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2021-12-30T07:04:00Z</dcterms:created>
  <dc:creator>admin</dc:creator>
  <cp:lastModifiedBy>陈简</cp:lastModifiedBy>
  <cp:lastPrinted>2026-04-21T15:50:25Z</cp:lastPrinted>
  <dcterms:modified xsi:type="dcterms:W3CDTF">2026-04-21T15:51:54Z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45ACA980462BEF7FE227E76940F9E7D0_43</vt:lpwstr>
  </property>
  <property fmtid="{D5CDD505-2E9C-101B-9397-08002B2CF9AE}" pid="4" name="KSOTemplateDocerSaveRecord">
    <vt:lpwstr>eyJoZGlkIjoiZTEzYzMwNzljOGRkZjY1NGUyMDZiYzUyZmM4Zjg4NDkiLCJ1c2VySWQiOiIxNjMyMTUyMTQzIn0=</vt:lpwstr>
  </property>
</Properties>
</file>