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一、部门概况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(一)部门主要职责职能，组织架构、人员及资产等基本情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况。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共青城市商务局主要负责贯彻执行上级有关国内外贸易、外商投资、对外投资与经济合作的法律、法规、规章和方针政策的行政事业单位。商务局党组书记、局长由九江共青城高新技术产业开发区党工委委员、管委会副主任赵鹏担任，万绍琨、孙均涵担任党组成员、副局长，卢燕担任党组成员、市贸促会会长。内设办公室、产业招商股、商贸流通股、综合考核股。全局现有干部职工12人。党组成员、市贸促会会长卢燕分管综合考核股、副局长万绍琨分管办公室、副局长孙钧涵分管商贸流通股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当年部门履职总体目标、工作任务。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项目招引。2022年累计签约亿元以上项目80个，总投资347.55亿元；其中工业项目71个,总投资330.91亿元。申报待认定“50”项目2个，“20”项目3个，其中总投资53.6亿元的荣事达智能家电实现“15天洽谈签约、75天建设投产”，刷新了“50”项目百天投产新纪录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2、开放型经济考核。2022年对外贸生产型企业和跨境电商出口企业共计兑现各类扶持资金2000余万元。在国际疫情的环境下，我市主要外贸出口企业依旧实现正增长。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全年完成现汇进资584万美元，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完成外贸出口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71.43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亿元。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3、商贸经济。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全年发放政府消费券750万元，举办户外促消费美食节活动4场，全面激活市场消费潜力，实现社消指标稳定增长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着力培育规模以上贸易企业，完成71家商贸企业申报入统工作。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当年部门年度整体支出绩效目标。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着力优化营商环境，多措并举形成招商合力。力争全年完成引进50个亿元以上工业项目，力争引进“5020”项目4个，攻坚百亿元项目1个。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进一步激发消费活力，推动商贸服务业快速发展。一是聚焦扩大有效需求，着力推进消费扩容提质。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抓牢重点优化服务，促进对外贸易回稳发展。一是加大力度做好东部地区产业转移的承接，重点加强对外贸出口企业的招商引资。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部门预算绩效管理开展情况。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我单位专项工作均已于2022年完成，完成了年度绩效目标。所有项目的日常管理工作均按照我单位相关管理制度执行，建立了工作有计划、实施有方案、日常有监督的管理机制，工作取得了较好的成效。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当年部门预算及执行情况。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所有开支均按照我单位财务管理制度执行，资金的使用严格把关，整个项目的运行完全按照我单位内部管理制度、县委县政府及财政的有关规定执行。单位内部不定期进行抽查，严格人员作风，不存在违规违法的问题。各个项目资金使用与具体项目实施内容相符，绩效总目标和阶段性目标都已按照计划完成，未逾期。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部门整体支出绩效实现情况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我单位2022年专项，从产出指标、效益指标、满意指标，9项二级指标来看综合得分，组团及专业招商分队招商经费项目得分100；</w:t>
      </w:r>
      <w:r>
        <w:rPr>
          <w:rFonts w:hint="eastAsia" w:ascii="仿宋_GB2312" w:hAnsi="仿宋_GB2312" w:eastAsia="仿宋_GB2312" w:cs="仿宋_GB2312"/>
          <w:sz w:val="32"/>
          <w:szCs w:val="32"/>
        </w:rPr>
        <w:t>商业流通事务专项资金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项目得分100分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京东云产业扶持资金项目得分100分；外贸扶持资金项目得分100分、招商宣传画册项目得分100分。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三、部门整体支出绩效中存在问题及改进措施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(一)主要问题及原因分析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部控制停留在文字层面,内控意识薄弱。缺乏高水准内控管理人员没有专业的内控人员，内控知识缺乏，缺少相应的内控经验，内控人员难以胜任工作，不能有效的实现内部控制所预测的效果，导致内控执行时缺乏必要的力度，使内控失效。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改进的方向和具体措施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1、进一步健全和完善财务管理制度及内部控制制度，创新管理手段，用新思路、新方法，改进完善财务管理方法。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2、按照财政支出绩效管理的要求，建立科学的财政资金效益考评制度体系，不断提高财政资金使用管理的水平和效率。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我局绩效管理未有第三方评价，2022年度项目资金绩效自评情况已经在本局门户网站公开，</w:t>
      </w:r>
      <w:r>
        <w:rPr>
          <w:rFonts w:hint="eastAsia" w:ascii="仿宋" w:hAnsi="仿宋" w:eastAsia="仿宋" w:cs="仿宋"/>
          <w:sz w:val="32"/>
          <w:szCs w:val="32"/>
        </w:rPr>
        <w:t>《共青城市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商务局</w:t>
      </w:r>
      <w:r>
        <w:rPr>
          <w:rFonts w:hint="eastAsia" w:ascii="仿宋" w:hAnsi="仿宋" w:eastAsia="仿宋" w:cs="仿宋"/>
          <w:sz w:val="32"/>
          <w:szCs w:val="32"/>
        </w:rPr>
        <w:t>预算绩效管理办法（试行）》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将预算绩效管理情况正式纳入部门内部绩效考核，作为股室和个人评优评先考核内容。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397B0"/>
    <w:multiLevelType w:val="singleLevel"/>
    <w:tmpl w:val="46A397B0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704CB79"/>
    <w:multiLevelType w:val="singleLevel"/>
    <w:tmpl w:val="4704CB79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5F5A3823"/>
    <w:multiLevelType w:val="singleLevel"/>
    <w:tmpl w:val="5F5A38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MDZlYWI0NmM4ZWI2MjgyYjI5NjJiM2E5NzRiNzUifQ=="/>
  </w:docVars>
  <w:rsids>
    <w:rsidRoot w:val="00000000"/>
    <w:rsid w:val="00E054DD"/>
    <w:rsid w:val="02AE7397"/>
    <w:rsid w:val="0D002B62"/>
    <w:rsid w:val="0F955FBB"/>
    <w:rsid w:val="1F087FDA"/>
    <w:rsid w:val="24E86C04"/>
    <w:rsid w:val="32B66C99"/>
    <w:rsid w:val="41E974C9"/>
    <w:rsid w:val="44AE49FA"/>
    <w:rsid w:val="4B3C503B"/>
    <w:rsid w:val="514B6911"/>
    <w:rsid w:val="74A54C22"/>
    <w:rsid w:val="75200B3A"/>
    <w:rsid w:val="765B457B"/>
    <w:rsid w:val="79F92575"/>
    <w:rsid w:val="7C0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1500</Words>
  <Characters>1564</Characters>
  <Lines>0</Lines>
  <Paragraphs>0</Paragraphs>
  <TotalTime>0</TotalTime>
  <ScaleCrop>false</ScaleCrop>
  <LinksUpToDate>false</LinksUpToDate>
  <CharactersWithSpaces>1564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2023-04-19T03:31:00Z</dcterms:created>
  <dc:creator>Administrator.USER-20190717ET</dc:creator>
  <cp:lastModifiedBy>Administrator</cp:lastModifiedBy>
  <dcterms:modified xsi:type="dcterms:W3CDTF">2023-04-20T00:23:53Z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6CDB13FFC1704A9196D9B0E82F5668E4_12</vt:lpwstr>
  </property>
</Properties>
</file>