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部门整体支出绩效自评报告</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highlight w:val="none"/>
          <w:lang w:val="en-US" w:eastAsia="zh-CN"/>
        </w:rPr>
        <w:t>2023</w:t>
      </w:r>
      <w:r>
        <w:rPr>
          <w:rFonts w:hint="eastAsia" w:ascii="方正小标宋简体" w:hAnsi="方正小标宋简体" w:eastAsia="方正小标宋简体" w:cs="方正小标宋简体"/>
          <w:sz w:val="44"/>
          <w:szCs w:val="44"/>
          <w:highlight w:val="none"/>
        </w:rPr>
        <w:t>年度)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一、部门概况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（一）</w:t>
      </w:r>
      <w:r>
        <w:rPr>
          <w:rFonts w:hint="eastAsia" w:ascii="楷体_GB2312" w:hAnsi="楷体_GB2312" w:eastAsia="楷体_GB2312" w:cs="楷体_GB2312"/>
          <w:b/>
          <w:bCs/>
          <w:sz w:val="32"/>
          <w:szCs w:val="32"/>
          <w:highlight w:val="none"/>
        </w:rPr>
        <w:t>部门主要职责职能，组织架构、人员及资产等基本情况。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共青城市商务局主</w:t>
      </w:r>
      <w:bookmarkStart w:id="0" w:name="_GoBack"/>
      <w:bookmarkEnd w:id="0"/>
      <w:r>
        <w:rPr>
          <w:rFonts w:hint="eastAsia" w:ascii="仿宋_GB2312" w:hAnsi="仿宋_GB2312" w:eastAsia="仿宋_GB2312" w:cs="仿宋_GB2312"/>
          <w:sz w:val="32"/>
          <w:szCs w:val="32"/>
          <w:highlight w:val="none"/>
          <w:lang w:val="en-US" w:eastAsia="zh-CN"/>
        </w:rPr>
        <w:t>要负责贯彻执行上级有关国内外贸易、外商投资、对外投资与经济合作的法律、法规、规章和方针政策的行政事业单位。商务局党组书记、局长由九江共青城高新技术产业开发区党工委委员、管委会副主任赵鹏担任，万绍琨、孙钧涵担任党组成员、副局长，卢燕担任党组成员、市贸促会会长。内设办公室、产业招商股、商贸流通股、综合考核股。全局现有干部职工13人。党组成员、市贸促会会长卢燕分管综合考核股、副局长万绍琨分管办公室、副局长孙钧涵分管商贸流通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（二）当年部门履职总体目标、工作任务。</w:t>
      </w:r>
    </w:p>
    <w:p>
      <w:pPr>
        <w:pStyle w:val="2"/>
        <w:pageBreakBefore w:val="0"/>
        <w:widowControl w:val="0"/>
        <w:kinsoku/>
        <w:wordWrap/>
        <w:overflowPunct/>
        <w:topLinePunct w:val="0"/>
        <w:autoSpaceDE/>
        <w:autoSpaceDN/>
        <w:bidi w:val="0"/>
        <w:adjustRightInd/>
        <w:spacing w:line="560" w:lineRule="exact"/>
        <w:textAlignment w:val="auto"/>
        <w:rPr>
          <w:b w:val="0"/>
          <w:highlight w:val="none"/>
        </w:rPr>
      </w:pPr>
      <w:r>
        <w:rPr>
          <w:rFonts w:hint="eastAsia"/>
          <w:b w:val="0"/>
          <w:highlight w:val="none"/>
        </w:rPr>
        <w:t>1.</w:t>
      </w:r>
      <w:r>
        <w:rPr>
          <w:b w:val="0"/>
          <w:highlight w:val="none"/>
        </w:rPr>
        <w:t>招商引资方面。</w:t>
      </w:r>
      <w:r>
        <w:rPr>
          <w:rFonts w:hint="eastAsia"/>
          <w:b w:val="0"/>
          <w:highlight w:val="none"/>
        </w:rPr>
        <w:t>2023年</w:t>
      </w:r>
      <w:r>
        <w:rPr>
          <w:b w:val="0"/>
          <w:highlight w:val="none"/>
        </w:rPr>
        <w:t>累计签约亿元以上项目</w:t>
      </w:r>
      <w:r>
        <w:rPr>
          <w:rFonts w:hint="eastAsia"/>
          <w:b w:val="0"/>
          <w:highlight w:val="none"/>
        </w:rPr>
        <w:t>101</w:t>
      </w:r>
      <w:r>
        <w:rPr>
          <w:b w:val="0"/>
          <w:highlight w:val="none"/>
        </w:rPr>
        <w:t>个，总投资</w:t>
      </w:r>
      <w:r>
        <w:rPr>
          <w:rFonts w:hint="eastAsia"/>
          <w:b w:val="0"/>
          <w:highlight w:val="none"/>
        </w:rPr>
        <w:t>319.84</w:t>
      </w:r>
      <w:r>
        <w:rPr>
          <w:b w:val="0"/>
          <w:highlight w:val="none"/>
        </w:rPr>
        <w:t>亿元，其中工业项目</w:t>
      </w:r>
      <w:r>
        <w:rPr>
          <w:rFonts w:hint="eastAsia"/>
          <w:b w:val="0"/>
          <w:highlight w:val="none"/>
        </w:rPr>
        <w:t>63</w:t>
      </w:r>
      <w:r>
        <w:rPr>
          <w:b w:val="0"/>
          <w:highlight w:val="none"/>
        </w:rPr>
        <w:t>个，总投资</w:t>
      </w:r>
      <w:r>
        <w:rPr>
          <w:rFonts w:hint="eastAsia"/>
          <w:b w:val="0"/>
          <w:highlight w:val="none"/>
        </w:rPr>
        <w:t>258.21</w:t>
      </w:r>
      <w:r>
        <w:rPr>
          <w:b w:val="0"/>
          <w:highlight w:val="none"/>
        </w:rPr>
        <w:t>亿元。现代服务业项目</w:t>
      </w:r>
      <w:r>
        <w:rPr>
          <w:rFonts w:hint="eastAsia"/>
          <w:b w:val="0"/>
          <w:highlight w:val="none"/>
        </w:rPr>
        <w:t>38</w:t>
      </w:r>
      <w:r>
        <w:rPr>
          <w:b w:val="0"/>
          <w:highlight w:val="none"/>
        </w:rPr>
        <w:t>个，总投资</w:t>
      </w:r>
      <w:r>
        <w:rPr>
          <w:rFonts w:hint="eastAsia"/>
          <w:b w:val="0"/>
          <w:highlight w:val="none"/>
        </w:rPr>
        <w:t>61</w:t>
      </w:r>
      <w:r>
        <w:rPr>
          <w:b w:val="0"/>
          <w:highlight w:val="none"/>
        </w:rPr>
        <w:t>.63亿元。</w:t>
      </w:r>
    </w:p>
    <w:p>
      <w:pPr>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_GB2312" w:eastAsia="仿宋_GB2312" w:cs="仿宋_GB2312"/>
          <w:kern w:val="16"/>
          <w:sz w:val="32"/>
          <w:szCs w:val="32"/>
          <w:highlight w:val="none"/>
        </w:rPr>
      </w:pPr>
      <w:r>
        <w:rPr>
          <w:rFonts w:hint="eastAsia" w:ascii="仿宋_GB2312" w:eastAsia="仿宋_GB2312" w:cs="仿宋_GB2312"/>
          <w:kern w:val="16"/>
          <w:sz w:val="32"/>
          <w:szCs w:val="32"/>
          <w:highlight w:val="none"/>
        </w:rPr>
        <w:t>2.</w:t>
      </w:r>
      <w:r>
        <w:rPr>
          <w:rFonts w:ascii="仿宋_GB2312" w:eastAsia="仿宋_GB2312" w:cs="仿宋_GB2312"/>
          <w:kern w:val="16"/>
          <w:sz w:val="32"/>
          <w:szCs w:val="32"/>
          <w:highlight w:val="none"/>
        </w:rPr>
        <w:t>商贸流通方面。深入开展“消费提质年”活动，大力培育规模以上贸易企业，</w:t>
      </w:r>
      <w:r>
        <w:rPr>
          <w:rFonts w:hint="eastAsia" w:ascii="仿宋_GB2312" w:eastAsia="仿宋_GB2312" w:cs="仿宋_GB2312"/>
          <w:kern w:val="16"/>
          <w:sz w:val="32"/>
          <w:szCs w:val="32"/>
          <w:highlight w:val="none"/>
        </w:rPr>
        <w:t>2023年全年入库商贸企业66家，大个体8家。2023年1-11月我市网络零售额为48亿元，比2022年增长61.52%，总量及增长率均为九江市前茅。</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s="仿宋_GB2312"/>
          <w:kern w:val="16"/>
          <w:sz w:val="32"/>
          <w:szCs w:val="32"/>
          <w:highlight w:val="none"/>
        </w:rPr>
      </w:pPr>
      <w:r>
        <w:rPr>
          <w:rFonts w:hint="eastAsia" w:ascii="仿宋_GB2312" w:eastAsia="仿宋_GB2312" w:cs="仿宋_GB2312"/>
          <w:kern w:val="16"/>
          <w:sz w:val="32"/>
          <w:szCs w:val="32"/>
          <w:highlight w:val="none"/>
        </w:rPr>
        <w:t>绩效目标完成情况：项目所有开支均按照我单位财务管理制度执行，资金的使用严格把关，整个项目的运行完全按照我单位内部管理制度、</w:t>
      </w:r>
      <w:r>
        <w:rPr>
          <w:rFonts w:hint="eastAsia" w:ascii="仿宋_GB2312" w:eastAsia="仿宋_GB2312" w:cs="仿宋_GB2312"/>
          <w:kern w:val="16"/>
          <w:sz w:val="32"/>
          <w:szCs w:val="32"/>
          <w:highlight w:val="none"/>
          <w:lang w:eastAsia="zh-CN"/>
        </w:rPr>
        <w:t>市委市</w:t>
      </w:r>
      <w:r>
        <w:rPr>
          <w:rFonts w:hint="eastAsia" w:ascii="仿宋_GB2312" w:eastAsia="仿宋_GB2312" w:cs="仿宋_GB2312"/>
          <w:kern w:val="16"/>
          <w:sz w:val="32"/>
          <w:szCs w:val="32"/>
          <w:highlight w:val="none"/>
        </w:rPr>
        <w:t>政府及财政的有关规定执行。单位内部不定期进行抽查，严格人员作风，不存在违规违法的问题。各个项目资金使用与具体项目实施内容相符，绩效总目标和阶段性目标都已按照计划完成，未逾期。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（三）当年部门年度整体支出绩效目标。</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1、着力优化营商环境，多措并举形成招商合力。力争全年完成引进50个亿元以上工业项目。</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2、进一步激发消费活力，推动商贸服务业快速发展。一是聚焦扩大有效需求，着力推进消费扩容提质。</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3、抓牢重点优化服务，促进对外贸易回稳发展，重点加强对外贸出口企业的招商引资。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（四）部门预算绩效管理开展情况。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我单位专项工作均已于2023年完成，完成了年度绩效目标。所有项目的日常管理工作均按照我单位相关管理制度执行，建立了工作有计划、实施有方案、日常有监督的管理机制，工作取得了较好的成效。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（五）当年部门预算及执行情况。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项目所有开支均按照我单位财务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部门整体支出绩效实现情况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数量指标方面：</w:t>
      </w:r>
      <w:r>
        <w:rPr>
          <w:rFonts w:hint="default" w:ascii="仿宋" w:hAnsi="仿宋" w:eastAsia="仿宋" w:cs="仿宋"/>
          <w:sz w:val="30"/>
          <w:szCs w:val="30"/>
          <w:highlight w:val="none"/>
          <w:lang w:val="en-US" w:eastAsia="zh-CN"/>
        </w:rPr>
        <w:t>引进50个亿元以上工业项目</w:t>
      </w:r>
      <w:r>
        <w:rPr>
          <w:rFonts w:hint="eastAsia" w:ascii="仿宋_GB2312" w:hAnsi="仿宋_GB2312" w:eastAsia="仿宋_GB2312" w:cs="仿宋_GB2312"/>
          <w:sz w:val="32"/>
          <w:szCs w:val="32"/>
          <w:highlight w:val="none"/>
          <w:lang w:val="en-US" w:eastAsia="zh-CN"/>
        </w:rPr>
        <w:t>，实际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完成63个。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质量指标方面：深入开展“消费提质年”活动，大力培育规模以上贸易企业，2023年全年入库商贸企业66家，大个体8家。2023年1-11月我市网络零售额为48亿元，比2022年增长61.52%，总量及增长率均为九江市前茅。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时效指标方面：绩效目标明确，及时组织自评工作。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成本指标方面：成本控制合理。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三、部门整体支出绩效中存在问题及改进措施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(一)主要问题及原因分析。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产业集群化规模化效应仍不够显著</w:t>
      </w:r>
      <w:r>
        <w:rPr>
          <w:rFonts w:hint="eastAsia" w:ascii="仿宋_GB2312" w:hAnsi="仿宋_GB2312" w:eastAsia="仿宋_GB2312" w:cs="仿宋_GB2312"/>
          <w:sz w:val="32"/>
          <w:szCs w:val="32"/>
          <w:highlight w:val="none"/>
          <w:lang w:eastAsia="zh-CN"/>
        </w:rPr>
        <w:t>；外资项目储备不够，招商竞争激烈，大项目洽谈落地周期长；居民消费水平不足预期。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（二）改进的方向和具体措施。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瞄准核心区域，在产业招商上谋突破。始终把“长三角”、“珠三角”作为招商引资主战场，提前谋划在深圳、上海开展电子信息产业招商引资推介会，积极举办杭州数字经济产业大会、全市重点央企国企对接座谈会、九江市装备制造产业链产品对接会等重大活动，借力省市级重大平台打响共青良好投资环境招牌，推进洽谈、签约、落地一批大好项目，凝心聚力招大商，奋力打开产业招商新局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紧盯重大项目，在强链壮链上谋突破。紧紧围绕企业需求，着重延长产业链配套。围绕中汇达、汉可泛半导体、环耀科技等已落户重大项目，结合产业链“四图五清单”，靶向对接上下游配套企业，全力做好电子信息、氢能储能产业链“强延壮补”定向招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highlight w:val="none"/>
          <w:lang w:val="en-US" w:eastAsia="zh-CN"/>
        </w:rPr>
        <w:t>3.加强商贸企业培育，加大天虹商场、大泽泰时代广场、华东大市场等商业综合体招商力度，强化商圈行业管理，加快名品供给，满足各类消费人群，促进消费；持续开展商促活动，围绕季节性消费热点和重要节假日，采取“政府搭台、企业唱戏、社会参与”的模式，积极举办各类主题购物节会。三是促进电商良性发展。扎实开展好电商服务工作，加大电商服务企业和电商龙头企业落户，发挥头部引领作用，围绕“以点带面”，推进电商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局将进一步加强预算绩效管理工作，按照财政部门要求逐步加强预算绩效目标管理，及时组织本部门开展项目支出和部门整体支出绩效自评工作，加强绩效评价结果的运用；进一步加强内部机构的预算管理意识，严格按照预算编制的相关制度和要求，全面、准确、细致地编制部门预算，提高预算编制的科学性、合理性、严谨性和可控性；进一步加强预算支出的审核、跟踪及预算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我局将根据财政部门的要求适时在局机关门户网站公开绩效自评报告及自评表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叶根友毛笔行书2.0版">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MDZlYWI0NmM4ZWI2MjgyYjI5NjJiM2E5NzRiNzUifQ=="/>
  </w:docVars>
  <w:rsids>
    <w:rsidRoot w:val="00000000"/>
    <w:rsid w:val="00E054DD"/>
    <w:rsid w:val="02AE7397"/>
    <w:rsid w:val="0D002B62"/>
    <w:rsid w:val="0F955FBB"/>
    <w:rsid w:val="1F087FDA"/>
    <w:rsid w:val="24E86C04"/>
    <w:rsid w:val="32B66C99"/>
    <w:rsid w:val="41E974C9"/>
    <w:rsid w:val="44AE49FA"/>
    <w:rsid w:val="4B3C503B"/>
    <w:rsid w:val="514B6911"/>
    <w:rsid w:val="53430012"/>
    <w:rsid w:val="5352788A"/>
    <w:rsid w:val="5C7F7D18"/>
    <w:rsid w:val="5CBE41B1"/>
    <w:rsid w:val="66022BF3"/>
    <w:rsid w:val="6AEB28C5"/>
    <w:rsid w:val="6FD17C08"/>
    <w:rsid w:val="74A54C22"/>
    <w:rsid w:val="75200B3A"/>
    <w:rsid w:val="765B457B"/>
    <w:rsid w:val="79F92575"/>
    <w:rsid w:val="7C0A6A36"/>
    <w:rsid w:val="7E42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Next/>
      <w:keepLines/>
      <w:widowControl w:val="0"/>
      <w:spacing w:line="360" w:lineRule="auto"/>
      <w:ind w:left="1" w:firstLine="566"/>
      <w:outlineLvl w:val="2"/>
    </w:pPr>
    <w:rPr>
      <w:rFonts w:ascii="仿宋_GB2312" w:eastAsia="仿宋_GB2312" w:cs="仿宋_GB2312"/>
      <w:b/>
      <w:kern w:val="16"/>
      <w:sz w:val="32"/>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1564</Characters>
  <Lines>0</Lines>
  <Paragraphs>0</Paragraphs>
  <TotalTime>9</TotalTime>
  <ScaleCrop>false</ScaleCrop>
  <LinksUpToDate>false</LinksUpToDate>
  <CharactersWithSpaces>1564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2023-04-19T03:31:00Z</dcterms:created>
  <dc:creator>Administrator.USER-20190717ET</dc:creator>
  <cp:lastModifiedBy>Administrator</cp:lastModifiedBy>
  <dcterms:modified xsi:type="dcterms:W3CDTF">2024-05-13T03:07:31Z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6CDB13FFC1704A9196D9B0E82F5668E4_12</vt:lpwstr>
  </property>
</Properties>
</file>