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黑体" w:eastAsia="黑体"/>
          <w:color w:val="auto"/>
          <w:sz w:val="44"/>
          <w:szCs w:val="36"/>
          <w:highlight w:val="none"/>
        </w:rPr>
      </w:pPr>
      <w:r>
        <w:rPr>
          <w:rFonts w:hint="eastAsia" w:ascii="黑体" w:hAnsi="黑体" w:eastAsia="黑体"/>
          <w:color w:val="auto"/>
          <w:sz w:val="44"/>
          <w:szCs w:val="36"/>
          <w:highlight w:val="none"/>
          <w:lang w:eastAsia="zh-CN"/>
        </w:rPr>
        <w:t>共青城市司法局</w:t>
      </w:r>
      <w:r>
        <w:rPr>
          <w:rFonts w:hint="eastAsia" w:ascii="黑体" w:eastAsia="黑体"/>
          <w:color w:val="auto"/>
          <w:sz w:val="44"/>
          <w:szCs w:val="36"/>
          <w:highlight w:val="none"/>
        </w:rPr>
        <w:t>2018年度部门决算</w:t>
      </w:r>
    </w:p>
    <w:p>
      <w:pPr>
        <w:spacing w:line="600" w:lineRule="exact"/>
        <w:jc w:val="center"/>
        <w:rPr>
          <w:rFonts w:hint="eastAsia" w:ascii="黑体" w:eastAsia="黑体"/>
          <w:color w:val="auto"/>
          <w:sz w:val="44"/>
          <w:szCs w:val="36"/>
          <w:highlight w:val="none"/>
        </w:rPr>
      </w:pPr>
    </w:p>
    <w:p>
      <w:pPr>
        <w:spacing w:line="600" w:lineRule="exact"/>
        <w:jc w:val="center"/>
        <w:rPr>
          <w:rFonts w:hint="eastAsia" w:ascii="黑体" w:eastAsia="黑体"/>
          <w:color w:val="auto"/>
          <w:sz w:val="40"/>
          <w:szCs w:val="36"/>
          <w:highlight w:val="none"/>
        </w:rPr>
      </w:pPr>
      <w:r>
        <w:rPr>
          <w:rFonts w:hint="eastAsia" w:ascii="黑体" w:eastAsia="黑体"/>
          <w:color w:val="auto"/>
          <w:sz w:val="40"/>
          <w:szCs w:val="36"/>
          <w:highlight w:val="none"/>
        </w:rPr>
        <w:t xml:space="preserve">目    录  </w:t>
      </w:r>
    </w:p>
    <w:p>
      <w:pPr>
        <w:widowControl/>
        <w:spacing w:line="600" w:lineRule="exact"/>
        <w:ind w:firstLine="640"/>
        <w:jc w:val="left"/>
        <w:rPr>
          <w:rFonts w:hint="eastAsia" w:ascii="仿宋_GB2312" w:eastAsia="仿宋_GB2312"/>
          <w:color w:val="auto"/>
          <w:sz w:val="32"/>
          <w:szCs w:val="30"/>
          <w:highlight w:val="none"/>
        </w:rPr>
      </w:pPr>
    </w:p>
    <w:p>
      <w:pPr>
        <w:widowControl/>
        <w:spacing w:line="600" w:lineRule="exact"/>
        <w:ind w:firstLine="640"/>
        <w:jc w:val="left"/>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 xml:space="preserve">第一部分  </w:t>
      </w:r>
      <w:r>
        <w:rPr>
          <w:rFonts w:hint="eastAsia" w:ascii="黑体" w:hAnsi="黑体" w:eastAsia="黑体"/>
          <w:color w:val="auto"/>
          <w:sz w:val="32"/>
          <w:szCs w:val="32"/>
          <w:highlight w:val="none"/>
          <w:lang w:eastAsia="zh-CN"/>
        </w:rPr>
        <w:t>共青城市司法局</w:t>
      </w:r>
      <w:r>
        <w:rPr>
          <w:rFonts w:hint="eastAsia" w:ascii="黑体" w:hAnsi="黑体" w:eastAsia="黑体"/>
          <w:b/>
          <w:color w:val="auto"/>
          <w:sz w:val="32"/>
          <w:szCs w:val="32"/>
          <w:highlight w:val="none"/>
        </w:rPr>
        <w:t>概况</w:t>
      </w:r>
    </w:p>
    <w:p>
      <w:pPr>
        <w:widowControl/>
        <w:spacing w:line="600" w:lineRule="exact"/>
        <w:ind w:firstLine="640"/>
        <w:jc w:val="left"/>
        <w:rPr>
          <w:rFonts w:hint="eastAsia" w:ascii="仿宋" w:hAnsi="仿宋" w:eastAsia="仿宋"/>
          <w:color w:val="auto"/>
          <w:sz w:val="32"/>
          <w:szCs w:val="30"/>
          <w:highlight w:val="none"/>
        </w:rPr>
      </w:pPr>
      <w:r>
        <w:rPr>
          <w:rFonts w:hint="eastAsia" w:ascii="仿宋_GB2312" w:eastAsia="仿宋_GB2312"/>
          <w:b/>
          <w:color w:val="auto"/>
          <w:sz w:val="32"/>
          <w:szCs w:val="30"/>
          <w:highlight w:val="none"/>
        </w:rPr>
        <w:t xml:space="preserve">    </w:t>
      </w:r>
      <w:r>
        <w:rPr>
          <w:rFonts w:hint="eastAsia" w:ascii="仿宋" w:hAnsi="仿宋" w:eastAsia="仿宋"/>
          <w:color w:val="auto"/>
          <w:sz w:val="32"/>
          <w:szCs w:val="30"/>
          <w:highlight w:val="none"/>
        </w:rPr>
        <w:t>一、部门主要职责</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二、部门基本情况</w:t>
      </w:r>
    </w:p>
    <w:p>
      <w:pPr>
        <w:widowControl/>
        <w:spacing w:line="600" w:lineRule="exact"/>
        <w:ind w:firstLine="64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第二部分  2018年度部门决算表</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一、收入支出决算总表</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二、收入决算表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三、支出决算表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四、财政拨款收入支出决算总表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五、一般公共预算财政拨款支出决算表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六、一般公共预算财政拨款基本支出决算表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七、一般公共预算财政拨款“三公”经费支出决算</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八、政府性基金预算财政拨款收入支出决算表</w:t>
      </w:r>
    </w:p>
    <w:p>
      <w:pPr>
        <w:widowControl/>
        <w:spacing w:line="600" w:lineRule="exact"/>
        <w:ind w:firstLine="640"/>
        <w:jc w:val="left"/>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 xml:space="preserve">    九、国有资产占用情况表</w:t>
      </w:r>
    </w:p>
    <w:p>
      <w:pPr>
        <w:widowControl/>
        <w:spacing w:line="600" w:lineRule="exact"/>
        <w:jc w:val="left"/>
        <w:rPr>
          <w:rFonts w:hint="eastAsia" w:ascii="黑体" w:hAnsi="黑体" w:eastAsia="黑体"/>
          <w:color w:val="auto"/>
          <w:sz w:val="32"/>
          <w:szCs w:val="32"/>
          <w:highlight w:val="none"/>
        </w:rPr>
      </w:pPr>
      <w:r>
        <w:rPr>
          <w:rFonts w:hint="eastAsia" w:ascii="仿宋" w:hAnsi="仿宋" w:eastAsia="仿宋" w:cs="宋体"/>
          <w:color w:val="auto"/>
          <w:kern w:val="0"/>
          <w:sz w:val="32"/>
          <w:szCs w:val="32"/>
          <w:highlight w:val="none"/>
        </w:rPr>
        <w:t xml:space="preserve">    </w:t>
      </w:r>
      <w:r>
        <w:rPr>
          <w:rFonts w:hint="eastAsia" w:ascii="黑体" w:hAnsi="黑体" w:eastAsia="黑体"/>
          <w:color w:val="auto"/>
          <w:sz w:val="32"/>
          <w:szCs w:val="32"/>
          <w:highlight w:val="none"/>
        </w:rPr>
        <w:t>第三部分  2018年度部门决算情况说明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一、收入决算情况说明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二、支出决算情况说明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三、财政拨款支出决算情况说明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四、一般公共预算财政拨款基本支出决算情况说明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五、一般公共预算财政拨款“三公”经费支出决算</w:t>
      </w:r>
    </w:p>
    <w:p>
      <w:pPr>
        <w:widowControl/>
        <w:spacing w:line="600" w:lineRule="exact"/>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 xml:space="preserve">    情况说明</w:t>
      </w:r>
    </w:p>
    <w:p>
      <w:pPr>
        <w:widowControl/>
        <w:spacing w:line="600" w:lineRule="exact"/>
        <w:ind w:firstLine="1280" w:firstLineChars="40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六、机关运行经费支出情况说明</w:t>
      </w:r>
    </w:p>
    <w:p>
      <w:pPr>
        <w:widowControl/>
        <w:spacing w:line="600" w:lineRule="exact"/>
        <w:ind w:firstLine="64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 xml:space="preserve">    七、政府采购支出情况说明</w:t>
      </w:r>
    </w:p>
    <w:p>
      <w:pPr>
        <w:widowControl/>
        <w:spacing w:line="600" w:lineRule="exact"/>
        <w:ind w:firstLine="64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 xml:space="preserve">    八、国有资产占用情况说明</w:t>
      </w:r>
    </w:p>
    <w:p>
      <w:pPr>
        <w:widowControl/>
        <w:spacing w:line="600" w:lineRule="exact"/>
        <w:ind w:firstLine="640"/>
        <w:jc w:val="left"/>
        <w:rPr>
          <w:rFonts w:hint="eastAsia" w:ascii="仿宋" w:hAnsi="仿宋" w:eastAsia="仿宋"/>
          <w:color w:val="auto"/>
          <w:sz w:val="32"/>
          <w:szCs w:val="30"/>
          <w:highlight w:val="none"/>
        </w:rPr>
      </w:pPr>
      <w:r>
        <w:rPr>
          <w:rFonts w:hint="eastAsia" w:ascii="仿宋" w:hAnsi="仿宋" w:eastAsia="仿宋"/>
          <w:color w:val="auto"/>
          <w:sz w:val="32"/>
          <w:szCs w:val="30"/>
          <w:highlight w:val="none"/>
        </w:rPr>
        <w:t xml:space="preserve">    九、预算绩效情况说明</w:t>
      </w:r>
    </w:p>
    <w:p>
      <w:pPr>
        <w:widowControl/>
        <w:spacing w:line="600" w:lineRule="exact"/>
        <w:ind w:firstLine="640"/>
        <w:jc w:val="left"/>
        <w:rPr>
          <w:rFonts w:ascii="仿宋" w:hAnsi="仿宋" w:eastAsia="仿宋"/>
          <w:color w:val="auto"/>
          <w:sz w:val="32"/>
          <w:szCs w:val="30"/>
          <w:highlight w:val="none"/>
        </w:rPr>
      </w:pPr>
      <w:r>
        <w:rPr>
          <w:rFonts w:hint="eastAsia" w:ascii="黑体" w:hAnsi="黑体" w:eastAsia="黑体"/>
          <w:color w:val="auto"/>
          <w:sz w:val="32"/>
          <w:szCs w:val="32"/>
          <w:highlight w:val="none"/>
        </w:rPr>
        <w:t>第四部分  名词解释</w:t>
      </w: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ind w:firstLine="630"/>
        <w:jc w:val="center"/>
        <w:rPr>
          <w:rFonts w:hint="eastAsia" w:ascii="宋体" w:hAnsi="宋体"/>
          <w:b/>
          <w:color w:val="auto"/>
          <w:sz w:val="36"/>
          <w:szCs w:val="36"/>
          <w:highlight w:val="none"/>
        </w:rPr>
      </w:pPr>
    </w:p>
    <w:p>
      <w:pPr>
        <w:widowControl/>
        <w:spacing w:line="580" w:lineRule="exact"/>
        <w:jc w:val="center"/>
        <w:rPr>
          <w:rFonts w:hint="eastAsia" w:ascii="宋体" w:hAnsi="宋体"/>
          <w:b/>
          <w:color w:val="auto"/>
          <w:sz w:val="32"/>
          <w:szCs w:val="30"/>
          <w:highlight w:val="none"/>
        </w:rPr>
      </w:pPr>
      <w:r>
        <w:rPr>
          <w:rFonts w:hint="eastAsia" w:ascii="宋体" w:hAnsi="宋体"/>
          <w:b/>
          <w:color w:val="auto"/>
          <w:sz w:val="32"/>
          <w:szCs w:val="30"/>
          <w:highlight w:val="none"/>
        </w:rPr>
        <w:t xml:space="preserve">第一部分  </w:t>
      </w:r>
      <w:r>
        <w:rPr>
          <w:rFonts w:hint="eastAsia" w:ascii="宋体" w:hAnsi="宋体"/>
          <w:b/>
          <w:color w:val="auto"/>
          <w:sz w:val="32"/>
          <w:szCs w:val="32"/>
          <w:highlight w:val="none"/>
          <w:lang w:eastAsia="zh-CN"/>
        </w:rPr>
        <w:t>共青城市司法局</w:t>
      </w:r>
      <w:r>
        <w:rPr>
          <w:rFonts w:hint="eastAsia" w:ascii="宋体" w:hAnsi="宋体"/>
          <w:b/>
          <w:color w:val="auto"/>
          <w:sz w:val="32"/>
          <w:szCs w:val="30"/>
          <w:highlight w:val="none"/>
        </w:rPr>
        <w:t>概况</w:t>
      </w:r>
    </w:p>
    <w:p>
      <w:pPr>
        <w:ind w:firstLine="630"/>
        <w:jc w:val="center"/>
        <w:rPr>
          <w:rFonts w:hint="eastAsia"/>
          <w:color w:val="auto"/>
          <w:sz w:val="32"/>
          <w:szCs w:val="32"/>
          <w:highlight w:val="none"/>
        </w:rPr>
      </w:pP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一、部门主要职能</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共青城市司法局于1994年6月成立，是负责全市司法行政工作的职能部门。其主要职能是：普法宣传教育、依法治理、人民调解、基层法律服务、法律援助、安置帮教、社区矫正、律师公证、司法鉴定管理等。</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目前，共青城市司法局下设法治宣传教育科、基层科（法律援助中心）、社区矫正科、法务管理科4个业务科室。2个直属事业单位：江西共诚信律师事务所、共青城市公证处。6个乡镇司法所。</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二、部门基本情况</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纳入本套部门决算汇编范围的单位共</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个。</w:t>
      </w:r>
    </w:p>
    <w:p>
      <w:pPr>
        <w:ind w:firstLine="630"/>
        <w:jc w:val="left"/>
        <w:rPr>
          <w:rFonts w:hint="eastAsia" w:ascii="宋体" w:hAnsi="宋体"/>
          <w:b/>
          <w:color w:val="auto"/>
          <w:sz w:val="32"/>
          <w:szCs w:val="32"/>
          <w:highlight w:val="none"/>
        </w:rPr>
      </w:pPr>
      <w:r>
        <w:rPr>
          <w:rFonts w:hint="eastAsia" w:ascii="仿宋" w:hAnsi="仿宋" w:eastAsia="仿宋"/>
          <w:color w:val="auto"/>
          <w:sz w:val="32"/>
          <w:szCs w:val="32"/>
          <w:highlight w:val="none"/>
        </w:rPr>
        <w:t>本部门2018年年末编制人数</w:t>
      </w:r>
      <w:r>
        <w:rPr>
          <w:rFonts w:hint="eastAsia" w:ascii="仿宋" w:hAnsi="仿宋" w:eastAsia="仿宋"/>
          <w:color w:val="auto"/>
          <w:sz w:val="32"/>
          <w:szCs w:val="32"/>
          <w:highlight w:val="none"/>
          <w:lang w:val="en-US" w:eastAsia="zh-CN"/>
        </w:rPr>
        <w:t>43</w:t>
      </w:r>
      <w:r>
        <w:rPr>
          <w:rFonts w:hint="eastAsia" w:ascii="仿宋" w:hAnsi="仿宋" w:eastAsia="仿宋"/>
          <w:color w:val="auto"/>
          <w:sz w:val="32"/>
          <w:szCs w:val="32"/>
          <w:highlight w:val="none"/>
        </w:rPr>
        <w:t>人，其中行政编制</w:t>
      </w:r>
      <w:r>
        <w:rPr>
          <w:rFonts w:hint="eastAsia" w:ascii="仿宋" w:hAnsi="仿宋" w:eastAsia="仿宋"/>
          <w:color w:val="auto"/>
          <w:sz w:val="32"/>
          <w:szCs w:val="32"/>
          <w:highlight w:val="none"/>
          <w:lang w:val="en-US" w:eastAsia="zh-CN"/>
        </w:rPr>
        <w:t>34</w:t>
      </w:r>
      <w:r>
        <w:rPr>
          <w:rFonts w:hint="eastAsia" w:ascii="仿宋" w:hAnsi="仿宋" w:eastAsia="仿宋"/>
          <w:color w:val="auto"/>
          <w:sz w:val="32"/>
          <w:szCs w:val="32"/>
          <w:highlight w:val="none"/>
        </w:rPr>
        <w:t>人，事业编制</w:t>
      </w:r>
      <w:r>
        <w:rPr>
          <w:rFonts w:hint="eastAsia" w:ascii="仿宋" w:hAnsi="仿宋" w:eastAsia="仿宋"/>
          <w:color w:val="auto"/>
          <w:sz w:val="32"/>
          <w:szCs w:val="32"/>
          <w:highlight w:val="none"/>
          <w:lang w:val="en-US" w:eastAsia="zh-CN"/>
        </w:rPr>
        <w:t>9</w:t>
      </w:r>
      <w:r>
        <w:rPr>
          <w:rFonts w:hint="eastAsia" w:ascii="仿宋" w:hAnsi="仿宋" w:eastAsia="仿宋"/>
          <w:color w:val="auto"/>
          <w:sz w:val="32"/>
          <w:szCs w:val="32"/>
          <w:highlight w:val="none"/>
        </w:rPr>
        <w:t>人；年末实有人数</w:t>
      </w:r>
      <w:r>
        <w:rPr>
          <w:rFonts w:hint="eastAsia" w:ascii="仿宋" w:hAnsi="仿宋" w:eastAsia="仿宋"/>
          <w:color w:val="auto"/>
          <w:sz w:val="32"/>
          <w:szCs w:val="32"/>
          <w:highlight w:val="none"/>
          <w:lang w:val="en-US" w:eastAsia="zh-CN"/>
        </w:rPr>
        <w:t>35</w:t>
      </w:r>
      <w:r>
        <w:rPr>
          <w:rFonts w:hint="eastAsia" w:ascii="仿宋" w:hAnsi="仿宋" w:eastAsia="仿宋"/>
          <w:color w:val="auto"/>
          <w:sz w:val="32"/>
          <w:szCs w:val="32"/>
          <w:highlight w:val="none"/>
        </w:rPr>
        <w:t>人，其中在职人员</w:t>
      </w:r>
      <w:r>
        <w:rPr>
          <w:rFonts w:hint="eastAsia" w:ascii="仿宋" w:hAnsi="仿宋" w:eastAsia="仿宋"/>
          <w:color w:val="auto"/>
          <w:sz w:val="32"/>
          <w:szCs w:val="32"/>
          <w:highlight w:val="none"/>
          <w:lang w:val="en-US" w:eastAsia="zh-CN"/>
        </w:rPr>
        <w:t>35</w:t>
      </w:r>
      <w:r>
        <w:rPr>
          <w:rFonts w:hint="eastAsia" w:ascii="仿宋" w:hAnsi="仿宋" w:eastAsia="仿宋"/>
          <w:color w:val="auto"/>
          <w:sz w:val="32"/>
          <w:szCs w:val="32"/>
          <w:highlight w:val="none"/>
        </w:rPr>
        <w:t>人。</w:t>
      </w: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r>
        <w:rPr>
          <w:rFonts w:hint="eastAsia" w:ascii="宋体" w:hAnsi="宋体"/>
          <w:b/>
          <w:color w:val="auto"/>
          <w:sz w:val="32"/>
          <w:szCs w:val="32"/>
          <w:highlight w:val="none"/>
        </w:rPr>
        <w:t>第二部分  2018年度部门决算表</w:t>
      </w:r>
    </w:p>
    <w:p>
      <w:pPr>
        <w:autoSpaceDE w:val="0"/>
        <w:autoSpaceDN w:val="0"/>
        <w:adjustRightInd w:val="0"/>
        <w:spacing w:line="360" w:lineRule="auto"/>
        <w:jc w:val="left"/>
        <w:rPr>
          <w:rFonts w:hint="eastAsia"/>
          <w:color w:val="auto"/>
          <w:szCs w:val="30"/>
          <w:highlight w:val="none"/>
        </w:rPr>
      </w:pPr>
    </w:p>
    <w:p>
      <w:pPr>
        <w:autoSpaceDE w:val="0"/>
        <w:autoSpaceDN w:val="0"/>
        <w:adjustRightInd w:val="0"/>
        <w:spacing w:line="360" w:lineRule="auto"/>
        <w:jc w:val="left"/>
        <w:rPr>
          <w:rFonts w:hint="eastAsia" w:eastAsia="宋体"/>
          <w:color w:val="auto"/>
          <w:szCs w:val="30"/>
          <w:highlight w:val="none"/>
          <w:lang w:eastAsia="zh-CN"/>
        </w:rPr>
      </w:pPr>
      <w:r>
        <w:rPr>
          <w:rFonts w:hint="eastAsia" w:eastAsia="宋体"/>
          <w:color w:val="auto"/>
          <w:szCs w:val="30"/>
          <w:highlight w:val="none"/>
          <w:lang w:eastAsia="zh-CN"/>
        </w:rPr>
        <w:drawing>
          <wp:inline distT="0" distB="0" distL="114300" distR="114300">
            <wp:extent cx="5269230" cy="4435475"/>
            <wp:effectExtent l="0" t="0" r="7620" b="3175"/>
            <wp:docPr id="7" name="图片 7"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收入支出决算总表"/>
                    <pic:cNvPicPr>
                      <a:picLocks noChangeAspect="1"/>
                    </pic:cNvPicPr>
                  </pic:nvPicPr>
                  <pic:blipFill>
                    <a:blip r:embed="rId4"/>
                    <a:stretch>
                      <a:fillRect/>
                    </a:stretch>
                  </pic:blipFill>
                  <pic:spPr>
                    <a:xfrm>
                      <a:off x="0" y="0"/>
                      <a:ext cx="5269230" cy="4435475"/>
                    </a:xfrm>
                    <a:prstGeom prst="rect">
                      <a:avLst/>
                    </a:prstGeom>
                  </pic:spPr>
                </pic:pic>
              </a:graphicData>
            </a:graphic>
          </wp:inline>
        </w:drawing>
      </w:r>
    </w:p>
    <w:p>
      <w:pPr>
        <w:autoSpaceDE w:val="0"/>
        <w:autoSpaceDN w:val="0"/>
        <w:adjustRightInd w:val="0"/>
        <w:spacing w:line="360" w:lineRule="auto"/>
        <w:jc w:val="left"/>
        <w:rPr>
          <w:rFonts w:hint="eastAsia" w:ascii="仿宋" w:hAnsi="仿宋" w:eastAsia="仿宋" w:cs="仿宋_GB2312"/>
          <w:color w:val="auto"/>
          <w:kern w:val="0"/>
          <w:sz w:val="30"/>
          <w:szCs w:val="30"/>
          <w:highlight w:val="none"/>
        </w:rPr>
      </w:pP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rPr>
        <w:t xml:space="preserve"> </w:t>
      </w:r>
      <w:r>
        <w:rPr>
          <w:rFonts w:hint="eastAsia" w:ascii="仿宋" w:hAnsi="仿宋" w:eastAsia="仿宋" w:cs="仿宋_GB2312"/>
          <w:color w:val="auto"/>
          <w:kern w:val="0"/>
          <w:sz w:val="30"/>
          <w:szCs w:val="30"/>
          <w:highlight w:val="none"/>
          <w:lang w:eastAsia="zh-CN"/>
        </w:rPr>
        <w:drawing>
          <wp:inline distT="0" distB="0" distL="114300" distR="114300">
            <wp:extent cx="5266055" cy="3217545"/>
            <wp:effectExtent l="0" t="0" r="10795" b="1905"/>
            <wp:docPr id="8" name="图片 8"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收入决算表"/>
                    <pic:cNvPicPr>
                      <a:picLocks noChangeAspect="1"/>
                    </pic:cNvPicPr>
                  </pic:nvPicPr>
                  <pic:blipFill>
                    <a:blip r:embed="rId5"/>
                    <a:stretch>
                      <a:fillRect/>
                    </a:stretch>
                  </pic:blipFill>
                  <pic:spPr>
                    <a:xfrm>
                      <a:off x="0" y="0"/>
                      <a:ext cx="5266055" cy="3217545"/>
                    </a:xfrm>
                    <a:prstGeom prst="rect">
                      <a:avLst/>
                    </a:prstGeom>
                  </pic:spPr>
                </pic:pic>
              </a:graphicData>
            </a:graphic>
          </wp:inline>
        </w:drawing>
      </w: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lang w:eastAsia="zh-CN"/>
        </w:rPr>
        <w:drawing>
          <wp:inline distT="0" distB="0" distL="114300" distR="114300">
            <wp:extent cx="5270500" cy="3477260"/>
            <wp:effectExtent l="0" t="0" r="6350" b="8890"/>
            <wp:docPr id="9" name="图片 9"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支出决算表"/>
                    <pic:cNvPicPr>
                      <a:picLocks noChangeAspect="1"/>
                    </pic:cNvPicPr>
                  </pic:nvPicPr>
                  <pic:blipFill>
                    <a:blip r:embed="rId6"/>
                    <a:stretch>
                      <a:fillRect/>
                    </a:stretch>
                  </pic:blipFill>
                  <pic:spPr>
                    <a:xfrm>
                      <a:off x="0" y="0"/>
                      <a:ext cx="5270500" cy="3477260"/>
                    </a:xfrm>
                    <a:prstGeom prst="rect">
                      <a:avLst/>
                    </a:prstGeom>
                  </pic:spPr>
                </pic:pic>
              </a:graphicData>
            </a:graphic>
          </wp:inline>
        </w:drawing>
      </w:r>
    </w:p>
    <w:p>
      <w:pPr>
        <w:autoSpaceDE w:val="0"/>
        <w:autoSpaceDN w:val="0"/>
        <w:adjustRightInd w:val="0"/>
        <w:spacing w:line="360" w:lineRule="auto"/>
        <w:jc w:val="left"/>
        <w:rPr>
          <w:rFonts w:hint="eastAsia"/>
          <w:color w:val="auto"/>
          <w:szCs w:val="30"/>
          <w:highlight w:val="none"/>
        </w:rPr>
      </w:pPr>
    </w:p>
    <w:p>
      <w:pPr>
        <w:autoSpaceDE w:val="0"/>
        <w:autoSpaceDN w:val="0"/>
        <w:adjustRightInd w:val="0"/>
        <w:spacing w:line="360" w:lineRule="auto"/>
        <w:jc w:val="left"/>
        <w:rPr>
          <w:rFonts w:hint="eastAsia"/>
          <w:color w:val="auto"/>
          <w:szCs w:val="30"/>
          <w:highlight w:val="none"/>
        </w:rPr>
      </w:pP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lang w:eastAsia="zh-CN"/>
        </w:rPr>
        <w:drawing>
          <wp:inline distT="0" distB="0" distL="114300" distR="114300">
            <wp:extent cx="5266690" cy="4058920"/>
            <wp:effectExtent l="0" t="0" r="10160" b="17780"/>
            <wp:docPr id="10" name="图片 10"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财政拨款收入支出决算总表"/>
                    <pic:cNvPicPr>
                      <a:picLocks noChangeAspect="1"/>
                    </pic:cNvPicPr>
                  </pic:nvPicPr>
                  <pic:blipFill>
                    <a:blip r:embed="rId7"/>
                    <a:stretch>
                      <a:fillRect/>
                    </a:stretch>
                  </pic:blipFill>
                  <pic:spPr>
                    <a:xfrm>
                      <a:off x="0" y="0"/>
                      <a:ext cx="5266690" cy="4058920"/>
                    </a:xfrm>
                    <a:prstGeom prst="rect">
                      <a:avLst/>
                    </a:prstGeom>
                  </pic:spPr>
                </pic:pic>
              </a:graphicData>
            </a:graphic>
          </wp:inline>
        </w:drawing>
      </w: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lang w:eastAsia="zh-CN"/>
        </w:rPr>
        <w:drawing>
          <wp:inline distT="0" distB="0" distL="114300" distR="114300">
            <wp:extent cx="5273040" cy="5398770"/>
            <wp:effectExtent l="0" t="0" r="3810" b="11430"/>
            <wp:docPr id="11" name="图片 11" descr="一般公共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般公共预算财政拨款支出决算表"/>
                    <pic:cNvPicPr>
                      <a:picLocks noChangeAspect="1"/>
                    </pic:cNvPicPr>
                  </pic:nvPicPr>
                  <pic:blipFill>
                    <a:blip r:embed="rId8"/>
                    <a:stretch>
                      <a:fillRect/>
                    </a:stretch>
                  </pic:blipFill>
                  <pic:spPr>
                    <a:xfrm>
                      <a:off x="0" y="0"/>
                      <a:ext cx="5273040" cy="5398770"/>
                    </a:xfrm>
                    <a:prstGeom prst="rect">
                      <a:avLst/>
                    </a:prstGeom>
                  </pic:spPr>
                </pic:pic>
              </a:graphicData>
            </a:graphic>
          </wp:inline>
        </w:drawing>
      </w: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lang w:eastAsia="zh-CN"/>
        </w:rPr>
        <w:drawing>
          <wp:inline distT="0" distB="0" distL="114300" distR="114300">
            <wp:extent cx="5269865" cy="8775700"/>
            <wp:effectExtent l="0" t="0" r="6985" b="635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9"/>
                    <a:stretch>
                      <a:fillRect/>
                    </a:stretch>
                  </pic:blipFill>
                  <pic:spPr>
                    <a:xfrm>
                      <a:off x="0" y="0"/>
                      <a:ext cx="5269865" cy="8775700"/>
                    </a:xfrm>
                    <a:prstGeom prst="rect">
                      <a:avLst/>
                    </a:prstGeom>
                  </pic:spPr>
                </pic:pic>
              </a:graphicData>
            </a:graphic>
          </wp:inline>
        </w:drawing>
      </w:r>
    </w:p>
    <w:p>
      <w:pPr>
        <w:autoSpaceDE w:val="0"/>
        <w:autoSpaceDN w:val="0"/>
        <w:adjustRightInd w:val="0"/>
        <w:spacing w:line="360" w:lineRule="auto"/>
        <w:jc w:val="left"/>
        <w:rPr>
          <w:rFonts w:hint="eastAsia" w:eastAsia="宋体"/>
          <w:color w:val="auto"/>
          <w:szCs w:val="30"/>
          <w:highlight w:val="none"/>
          <w:lang w:eastAsia="zh-CN"/>
        </w:rPr>
      </w:pPr>
      <w:r>
        <w:rPr>
          <w:rFonts w:hint="eastAsia" w:eastAsia="宋体"/>
          <w:color w:val="auto"/>
          <w:szCs w:val="30"/>
          <w:highlight w:val="none"/>
          <w:lang w:eastAsia="zh-CN"/>
        </w:rPr>
        <w:drawing>
          <wp:inline distT="0" distB="0" distL="114300" distR="114300">
            <wp:extent cx="5271135" cy="4507230"/>
            <wp:effectExtent l="0" t="0" r="5715" b="7620"/>
            <wp:docPr id="13" name="图片 13" descr="一般公共预算财政拨款“三公”经费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般公共预算财政拨款“三公”经费支出决算表"/>
                    <pic:cNvPicPr>
                      <a:picLocks noChangeAspect="1"/>
                    </pic:cNvPicPr>
                  </pic:nvPicPr>
                  <pic:blipFill>
                    <a:blip r:embed="rId10"/>
                    <a:stretch>
                      <a:fillRect/>
                    </a:stretch>
                  </pic:blipFill>
                  <pic:spPr>
                    <a:xfrm>
                      <a:off x="0" y="0"/>
                      <a:ext cx="5271135" cy="4507230"/>
                    </a:xfrm>
                    <a:prstGeom prst="rect">
                      <a:avLst/>
                    </a:prstGeom>
                  </pic:spPr>
                </pic:pic>
              </a:graphicData>
            </a:graphic>
          </wp:inline>
        </w:drawing>
      </w:r>
    </w:p>
    <w:p>
      <w:pPr>
        <w:autoSpaceDE w:val="0"/>
        <w:autoSpaceDN w:val="0"/>
        <w:adjustRightInd w:val="0"/>
        <w:spacing w:line="360" w:lineRule="auto"/>
        <w:jc w:val="left"/>
        <w:rPr>
          <w:rFonts w:hint="eastAsia"/>
          <w:color w:val="auto"/>
          <w:szCs w:val="30"/>
          <w:highlight w:val="none"/>
        </w:rPr>
      </w:pPr>
    </w:p>
    <w:p>
      <w:pPr>
        <w:autoSpaceDE w:val="0"/>
        <w:autoSpaceDN w:val="0"/>
        <w:adjustRightInd w:val="0"/>
        <w:spacing w:line="360" w:lineRule="auto"/>
        <w:jc w:val="left"/>
        <w:rPr>
          <w:rFonts w:hint="eastAsia" w:eastAsia="宋体"/>
          <w:color w:val="auto"/>
          <w:szCs w:val="30"/>
          <w:highlight w:val="none"/>
          <w:lang w:eastAsia="zh-CN"/>
        </w:rPr>
      </w:pPr>
      <w:r>
        <w:rPr>
          <w:rFonts w:hint="eastAsia" w:eastAsia="宋体"/>
          <w:color w:val="auto"/>
          <w:szCs w:val="30"/>
          <w:highlight w:val="none"/>
          <w:lang w:eastAsia="zh-CN"/>
        </w:rPr>
        <w:drawing>
          <wp:inline distT="0" distB="0" distL="114300" distR="114300">
            <wp:extent cx="5267325" cy="1582420"/>
            <wp:effectExtent l="0" t="0" r="9525" b="17780"/>
            <wp:docPr id="14" name="图片 14" descr="政府性基金预算财政拨款收入支出就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政府性基金预算财政拨款收入支出就算表"/>
                    <pic:cNvPicPr>
                      <a:picLocks noChangeAspect="1"/>
                    </pic:cNvPicPr>
                  </pic:nvPicPr>
                  <pic:blipFill>
                    <a:blip r:embed="rId11"/>
                    <a:stretch>
                      <a:fillRect/>
                    </a:stretch>
                  </pic:blipFill>
                  <pic:spPr>
                    <a:xfrm>
                      <a:off x="0" y="0"/>
                      <a:ext cx="5267325" cy="1582420"/>
                    </a:xfrm>
                    <a:prstGeom prst="rect">
                      <a:avLst/>
                    </a:prstGeom>
                  </pic:spPr>
                </pic:pic>
              </a:graphicData>
            </a:graphic>
          </wp:inline>
        </w:drawing>
      </w:r>
    </w:p>
    <w:p>
      <w:pPr>
        <w:autoSpaceDE w:val="0"/>
        <w:autoSpaceDN w:val="0"/>
        <w:adjustRightInd w:val="0"/>
        <w:spacing w:line="360" w:lineRule="auto"/>
        <w:jc w:val="left"/>
        <w:rPr>
          <w:rFonts w:hint="eastAsia"/>
          <w:color w:val="auto"/>
          <w:szCs w:val="30"/>
          <w:highlight w:val="none"/>
        </w:rPr>
      </w:pPr>
    </w:p>
    <w:p>
      <w:pPr>
        <w:autoSpaceDE w:val="0"/>
        <w:autoSpaceDN w:val="0"/>
        <w:adjustRightInd w:val="0"/>
        <w:spacing w:line="360" w:lineRule="auto"/>
        <w:jc w:val="left"/>
        <w:rPr>
          <w:rFonts w:hint="eastAsia" w:ascii="仿宋" w:hAnsi="仿宋" w:eastAsia="仿宋" w:cs="仿宋_GB2312"/>
          <w:color w:val="auto"/>
          <w:kern w:val="0"/>
          <w:sz w:val="30"/>
          <w:szCs w:val="30"/>
          <w:highlight w:val="none"/>
          <w:lang w:eastAsia="zh-CN"/>
        </w:rPr>
      </w:pPr>
      <w:r>
        <w:rPr>
          <w:rFonts w:hint="eastAsia" w:ascii="仿宋" w:hAnsi="仿宋" w:eastAsia="仿宋" w:cs="仿宋_GB2312"/>
          <w:color w:val="auto"/>
          <w:kern w:val="0"/>
          <w:sz w:val="30"/>
          <w:szCs w:val="30"/>
          <w:highlight w:val="none"/>
          <w:lang w:eastAsia="zh-CN"/>
        </w:rPr>
        <w:drawing>
          <wp:inline distT="0" distB="0" distL="114300" distR="114300">
            <wp:extent cx="5229225" cy="3171825"/>
            <wp:effectExtent l="0" t="0" r="9525" b="9525"/>
            <wp:docPr id="16" name="图片 16" descr="国有资产占用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国有资产占用情况表"/>
                    <pic:cNvPicPr>
                      <a:picLocks noChangeAspect="1"/>
                    </pic:cNvPicPr>
                  </pic:nvPicPr>
                  <pic:blipFill>
                    <a:blip r:embed="rId12"/>
                    <a:stretch>
                      <a:fillRect/>
                    </a:stretch>
                  </pic:blipFill>
                  <pic:spPr>
                    <a:xfrm>
                      <a:off x="0" y="0"/>
                      <a:ext cx="5229225" cy="3171825"/>
                    </a:xfrm>
                    <a:prstGeom prst="rect">
                      <a:avLst/>
                    </a:prstGeom>
                  </pic:spPr>
                </pic:pic>
              </a:graphicData>
            </a:graphic>
          </wp:inline>
        </w:drawing>
      </w:r>
    </w:p>
    <w:p>
      <w:pPr>
        <w:widowControl/>
        <w:spacing w:line="600" w:lineRule="exact"/>
        <w:ind w:firstLine="640"/>
        <w:jc w:val="center"/>
        <w:rPr>
          <w:rFonts w:hint="eastAsia" w:ascii="宋体" w:hAnsi="宋体"/>
          <w:b/>
          <w:color w:val="auto"/>
          <w:sz w:val="32"/>
          <w:szCs w:val="32"/>
          <w:highlight w:val="none"/>
        </w:rPr>
      </w:pPr>
    </w:p>
    <w:p>
      <w:pPr>
        <w:widowControl/>
        <w:spacing w:line="600" w:lineRule="exact"/>
        <w:ind w:firstLine="640"/>
        <w:jc w:val="center"/>
        <w:rPr>
          <w:rFonts w:hint="eastAsia" w:ascii="宋体" w:hAnsi="宋体"/>
          <w:b/>
          <w:color w:val="auto"/>
          <w:sz w:val="32"/>
          <w:szCs w:val="32"/>
          <w:highlight w:val="none"/>
        </w:rPr>
      </w:pPr>
      <w:r>
        <w:rPr>
          <w:rFonts w:hint="eastAsia" w:ascii="宋体" w:hAnsi="宋体"/>
          <w:b/>
          <w:color w:val="auto"/>
          <w:sz w:val="32"/>
          <w:szCs w:val="32"/>
          <w:highlight w:val="none"/>
        </w:rPr>
        <w:t>第三部分  2018年度部门决算情况说明</w:t>
      </w:r>
    </w:p>
    <w:p>
      <w:pPr>
        <w:ind w:firstLine="630"/>
        <w:jc w:val="left"/>
        <w:rPr>
          <w:rFonts w:hint="eastAsia" w:ascii="仿宋" w:hAnsi="仿宋" w:eastAsia="仿宋"/>
          <w:color w:val="auto"/>
          <w:sz w:val="30"/>
          <w:szCs w:val="30"/>
          <w:highlight w:val="none"/>
        </w:rPr>
      </w:pP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一、收入决算情况说明</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本部门2018年度收入总计</w:t>
      </w:r>
      <w:r>
        <w:rPr>
          <w:rFonts w:hint="eastAsia" w:ascii="仿宋" w:hAnsi="仿宋" w:eastAsia="仿宋"/>
          <w:color w:val="auto"/>
          <w:sz w:val="32"/>
          <w:szCs w:val="32"/>
          <w:highlight w:val="none"/>
          <w:lang w:val="en-US" w:eastAsia="zh-CN"/>
        </w:rPr>
        <w:t>845.612768</w:t>
      </w:r>
      <w:r>
        <w:rPr>
          <w:rFonts w:hint="eastAsia" w:ascii="仿宋" w:hAnsi="仿宋" w:eastAsia="仿宋"/>
          <w:color w:val="auto"/>
          <w:sz w:val="32"/>
          <w:szCs w:val="32"/>
          <w:highlight w:val="none"/>
        </w:rPr>
        <w:t>万元，其中年初结转和结余</w:t>
      </w:r>
      <w:r>
        <w:rPr>
          <w:rFonts w:hint="eastAsia" w:ascii="仿宋" w:hAnsi="仿宋" w:eastAsia="仿宋"/>
          <w:color w:val="auto"/>
          <w:sz w:val="32"/>
          <w:szCs w:val="32"/>
          <w:highlight w:val="none"/>
          <w:lang w:val="en-US" w:eastAsia="zh-CN"/>
        </w:rPr>
        <w:t>53.1910</w:t>
      </w:r>
      <w:r>
        <w:rPr>
          <w:rFonts w:hint="eastAsia" w:ascii="仿宋" w:hAnsi="仿宋" w:eastAsia="仿宋"/>
          <w:color w:val="auto"/>
          <w:sz w:val="32"/>
          <w:szCs w:val="32"/>
          <w:highlight w:val="none"/>
        </w:rPr>
        <w:t>万元，较2017年减少</w:t>
      </w:r>
      <w:r>
        <w:rPr>
          <w:rFonts w:hint="eastAsia" w:ascii="仿宋" w:hAnsi="仿宋" w:eastAsia="仿宋"/>
          <w:color w:val="auto"/>
          <w:sz w:val="32"/>
          <w:szCs w:val="32"/>
          <w:highlight w:val="none"/>
          <w:lang w:val="en-US" w:eastAsia="zh-CN"/>
        </w:rPr>
        <w:t>307.987798</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85.27</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792.421768</w:t>
      </w:r>
      <w:r>
        <w:rPr>
          <w:rFonts w:hint="eastAsia" w:ascii="仿宋" w:hAnsi="仿宋" w:eastAsia="仿宋"/>
          <w:color w:val="auto"/>
          <w:sz w:val="32"/>
          <w:szCs w:val="32"/>
          <w:highlight w:val="none"/>
        </w:rPr>
        <w:t>万元，较2017年增加</w:t>
      </w:r>
      <w:r>
        <w:rPr>
          <w:rFonts w:hint="eastAsia" w:ascii="仿宋" w:hAnsi="仿宋" w:eastAsia="仿宋"/>
          <w:color w:val="auto"/>
          <w:sz w:val="32"/>
          <w:szCs w:val="32"/>
          <w:highlight w:val="none"/>
          <w:lang w:val="en-US" w:eastAsia="zh-CN"/>
        </w:rPr>
        <w:t>305.949912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62.89</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财政拨款收入增加</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本年收入的具体构成为：财政拨款收入</w:t>
      </w:r>
      <w:r>
        <w:rPr>
          <w:rFonts w:hint="eastAsia" w:ascii="仿宋" w:hAnsi="仿宋" w:eastAsia="仿宋"/>
          <w:color w:val="auto"/>
          <w:sz w:val="32"/>
          <w:szCs w:val="32"/>
          <w:highlight w:val="none"/>
          <w:lang w:val="en-US" w:eastAsia="zh-CN"/>
        </w:rPr>
        <w:t>780.040268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92.25</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12.3815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1.46</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年初结转和结余</w:t>
      </w:r>
      <w:r>
        <w:rPr>
          <w:rFonts w:hint="eastAsia" w:ascii="仿宋" w:hAnsi="仿宋" w:eastAsia="仿宋"/>
          <w:color w:val="auto"/>
          <w:sz w:val="32"/>
          <w:szCs w:val="32"/>
          <w:highlight w:val="none"/>
          <w:lang w:val="en-US" w:eastAsia="zh-CN"/>
        </w:rPr>
        <w:t>53.1910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6.29</w:t>
      </w:r>
      <w:r>
        <w:rPr>
          <w:rFonts w:hint="eastAsia" w:ascii="仿宋" w:hAnsi="仿宋" w:eastAsia="仿宋"/>
          <w:color w:val="auto"/>
          <w:sz w:val="32"/>
          <w:szCs w:val="32"/>
          <w:highlight w:val="none"/>
        </w:rPr>
        <w:t xml:space="preserve">%。  </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二、支出决算情况说明</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本部门2018年度支出总计</w:t>
      </w:r>
      <w:r>
        <w:rPr>
          <w:rFonts w:hint="eastAsia" w:ascii="仿宋" w:hAnsi="仿宋" w:eastAsia="仿宋"/>
          <w:color w:val="auto"/>
          <w:sz w:val="32"/>
          <w:szCs w:val="32"/>
          <w:highlight w:val="none"/>
          <w:lang w:val="en-US" w:eastAsia="zh-CN"/>
        </w:rPr>
        <w:t>845.612768</w:t>
      </w:r>
      <w:r>
        <w:rPr>
          <w:rFonts w:hint="eastAsia" w:ascii="仿宋" w:hAnsi="仿宋" w:eastAsia="仿宋"/>
          <w:color w:val="auto"/>
          <w:sz w:val="32"/>
          <w:szCs w:val="32"/>
          <w:highlight w:val="none"/>
        </w:rPr>
        <w:t>万元，其中本年支出合计</w:t>
      </w:r>
      <w:r>
        <w:rPr>
          <w:rFonts w:hint="eastAsia" w:ascii="仿宋" w:hAnsi="仿宋" w:eastAsia="仿宋"/>
          <w:color w:val="auto"/>
          <w:sz w:val="32"/>
          <w:szCs w:val="32"/>
          <w:highlight w:val="none"/>
          <w:lang w:val="en-US" w:eastAsia="zh-CN"/>
        </w:rPr>
        <w:t>764.212155</w:t>
      </w:r>
      <w:r>
        <w:rPr>
          <w:rFonts w:hint="eastAsia" w:ascii="仿宋" w:hAnsi="仿宋" w:eastAsia="仿宋"/>
          <w:color w:val="auto"/>
          <w:sz w:val="32"/>
          <w:szCs w:val="32"/>
          <w:highlight w:val="none"/>
        </w:rPr>
        <w:t>万元，较2017年减少</w:t>
      </w:r>
      <w:r>
        <w:rPr>
          <w:rFonts w:hint="eastAsia" w:ascii="仿宋" w:hAnsi="仿宋" w:eastAsia="仿宋"/>
          <w:color w:val="auto"/>
          <w:sz w:val="32"/>
          <w:szCs w:val="32"/>
          <w:highlight w:val="none"/>
          <w:lang w:val="en-US" w:eastAsia="zh-CN"/>
        </w:rPr>
        <w:t>30.247499</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3.8</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公共安全支出减少</w:t>
      </w:r>
      <w:r>
        <w:rPr>
          <w:rFonts w:hint="eastAsia" w:ascii="仿宋" w:hAnsi="仿宋" w:eastAsia="仿宋"/>
          <w:color w:val="auto"/>
          <w:sz w:val="32"/>
          <w:szCs w:val="32"/>
          <w:highlight w:val="none"/>
        </w:rPr>
        <w:t>；年末结转和结余</w:t>
      </w:r>
      <w:r>
        <w:rPr>
          <w:rFonts w:hint="eastAsia" w:ascii="仿宋" w:hAnsi="仿宋" w:eastAsia="仿宋"/>
          <w:color w:val="auto"/>
          <w:sz w:val="32"/>
          <w:szCs w:val="32"/>
          <w:highlight w:val="none"/>
          <w:lang w:val="en-US" w:eastAsia="zh-CN"/>
        </w:rPr>
        <w:t>81.400613</w:t>
      </w:r>
      <w:r>
        <w:rPr>
          <w:rFonts w:hint="eastAsia" w:ascii="仿宋" w:hAnsi="仿宋" w:eastAsia="仿宋"/>
          <w:color w:val="auto"/>
          <w:sz w:val="32"/>
          <w:szCs w:val="32"/>
          <w:highlight w:val="none"/>
        </w:rPr>
        <w:t>万元，较2017年增加</w:t>
      </w:r>
      <w:r>
        <w:rPr>
          <w:rFonts w:hint="eastAsia" w:ascii="仿宋" w:hAnsi="仿宋" w:eastAsia="仿宋"/>
          <w:color w:val="auto"/>
          <w:sz w:val="32"/>
          <w:szCs w:val="32"/>
          <w:highlight w:val="none"/>
          <w:lang w:val="en-US" w:eastAsia="zh-CN"/>
        </w:rPr>
        <w:t>28.209613</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53.03</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本年度收入增加</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本年支出的具体构成为：基本支出</w:t>
      </w:r>
      <w:r>
        <w:rPr>
          <w:rFonts w:hint="eastAsia" w:ascii="仿宋" w:hAnsi="仿宋" w:eastAsia="仿宋"/>
          <w:color w:val="auto"/>
          <w:sz w:val="32"/>
          <w:szCs w:val="32"/>
          <w:highlight w:val="none"/>
          <w:lang w:val="en-US" w:eastAsia="zh-CN"/>
        </w:rPr>
        <w:t>764.212155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无</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其他支出（对附属单位补助支出、上缴上级支出）。</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三、财政拨款支出决算情况说明</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本部门2018年度财政拨款本年支出年初预算数为</w:t>
      </w:r>
      <w:r>
        <w:rPr>
          <w:rFonts w:hint="eastAsia" w:ascii="仿宋" w:hAnsi="仿宋" w:eastAsia="仿宋"/>
          <w:color w:val="auto"/>
          <w:sz w:val="32"/>
          <w:szCs w:val="32"/>
          <w:highlight w:val="none"/>
          <w:lang w:val="en-US" w:eastAsia="zh-CN"/>
        </w:rPr>
        <w:t>800.48</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764.212155</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95.47</w:t>
      </w:r>
      <w:r>
        <w:rPr>
          <w:rFonts w:hint="eastAsia" w:ascii="仿宋" w:hAnsi="仿宋" w:eastAsia="仿宋"/>
          <w:color w:val="auto"/>
          <w:sz w:val="32"/>
          <w:szCs w:val="32"/>
          <w:highlight w:val="none"/>
        </w:rPr>
        <w:t>%。其中：</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一</w:t>
      </w:r>
      <w:r>
        <w:rPr>
          <w:rFonts w:hint="eastAsia" w:ascii="仿宋" w:hAnsi="仿宋" w:eastAsia="仿宋"/>
          <w:color w:val="auto"/>
          <w:sz w:val="32"/>
          <w:szCs w:val="32"/>
          <w:highlight w:val="none"/>
        </w:rPr>
        <w:t>）一般公共服务支出年初预算数为</w:t>
      </w:r>
      <w:r>
        <w:rPr>
          <w:rFonts w:hint="eastAsia" w:ascii="仿宋" w:hAnsi="仿宋" w:eastAsia="仿宋"/>
          <w:color w:val="auto"/>
          <w:sz w:val="32"/>
          <w:szCs w:val="32"/>
          <w:highlight w:val="none"/>
          <w:lang w:val="en-US" w:eastAsia="zh-CN"/>
        </w:rPr>
        <w:t>649.97</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317.05562</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48.78</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业务工作需要</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（二）公共安全支出年初预算数为</w:t>
      </w:r>
      <w:r>
        <w:rPr>
          <w:rFonts w:hint="eastAsia" w:ascii="仿宋" w:hAnsi="仿宋" w:eastAsia="仿宋"/>
          <w:color w:val="auto"/>
          <w:sz w:val="32"/>
          <w:szCs w:val="32"/>
          <w:highlight w:val="none"/>
          <w:lang w:val="en-US" w:eastAsia="zh-CN"/>
        </w:rPr>
        <w:t>387.34</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366.538138</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94.63</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业务工作需要</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三</w:t>
      </w:r>
      <w:r>
        <w:rPr>
          <w:rFonts w:hint="eastAsia" w:ascii="仿宋" w:hAnsi="仿宋" w:eastAsia="仿宋"/>
          <w:color w:val="auto"/>
          <w:sz w:val="32"/>
          <w:szCs w:val="32"/>
          <w:highlight w:val="none"/>
        </w:rPr>
        <w:t>）社会保障和就业支出年初预算数为</w:t>
      </w:r>
      <w:r>
        <w:rPr>
          <w:rFonts w:hint="eastAsia" w:ascii="仿宋" w:hAnsi="仿宋" w:eastAsia="仿宋"/>
          <w:color w:val="auto"/>
          <w:sz w:val="32"/>
          <w:szCs w:val="32"/>
          <w:highlight w:val="none"/>
          <w:lang w:val="en-US" w:eastAsia="zh-CN"/>
        </w:rPr>
        <w:t>37.36</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38.042016</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101.83</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业务工作需要</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四</w:t>
      </w:r>
      <w:r>
        <w:rPr>
          <w:rFonts w:hint="eastAsia" w:ascii="仿宋" w:hAnsi="仿宋" w:eastAsia="仿宋"/>
          <w:color w:val="auto"/>
          <w:sz w:val="32"/>
          <w:szCs w:val="32"/>
          <w:highlight w:val="none"/>
        </w:rPr>
        <w:t>）医疗卫生与计划生育支出年初预算数为</w:t>
      </w:r>
      <w:r>
        <w:rPr>
          <w:rFonts w:hint="eastAsia" w:ascii="仿宋" w:hAnsi="仿宋" w:eastAsia="仿宋"/>
          <w:color w:val="auto"/>
          <w:sz w:val="32"/>
          <w:szCs w:val="32"/>
          <w:highlight w:val="none"/>
          <w:lang w:val="en-US" w:eastAsia="zh-CN"/>
        </w:rPr>
        <w:t>17.35</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18.224057</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105.04</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业务工作需要</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0"/>
          <w:szCs w:val="30"/>
          <w:highlight w:val="none"/>
        </w:rPr>
      </w:pP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五</w:t>
      </w:r>
      <w:r>
        <w:rPr>
          <w:rFonts w:hint="eastAsia" w:ascii="仿宋" w:hAnsi="仿宋" w:eastAsia="仿宋"/>
          <w:color w:val="auto"/>
          <w:sz w:val="32"/>
          <w:szCs w:val="32"/>
          <w:highlight w:val="none"/>
        </w:rPr>
        <w:t>）住房保障支出年初预算数为</w:t>
      </w:r>
      <w:r>
        <w:rPr>
          <w:rFonts w:hint="eastAsia" w:ascii="仿宋" w:hAnsi="仿宋" w:eastAsia="仿宋"/>
          <w:color w:val="auto"/>
          <w:sz w:val="32"/>
          <w:szCs w:val="32"/>
          <w:highlight w:val="none"/>
          <w:lang w:val="en-US" w:eastAsia="zh-CN"/>
        </w:rPr>
        <w:t>23.46</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24.352324</w:t>
      </w:r>
      <w:r>
        <w:rPr>
          <w:rFonts w:hint="eastAsia" w:ascii="仿宋" w:hAnsi="仿宋" w:eastAsia="仿宋"/>
          <w:color w:val="auto"/>
          <w:sz w:val="32"/>
          <w:szCs w:val="32"/>
          <w:highlight w:val="none"/>
        </w:rPr>
        <w:t>万元，完成年初预算的</w:t>
      </w:r>
      <w:r>
        <w:rPr>
          <w:rFonts w:hint="eastAsia" w:ascii="仿宋" w:hAnsi="仿宋" w:eastAsia="仿宋"/>
          <w:color w:val="auto"/>
          <w:sz w:val="32"/>
          <w:szCs w:val="32"/>
          <w:highlight w:val="none"/>
          <w:lang w:val="en-US" w:eastAsia="zh-CN"/>
        </w:rPr>
        <w:t>103.80</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业务工作需要</w:t>
      </w:r>
      <w:r>
        <w:rPr>
          <w:rFonts w:hint="eastAsia" w:ascii="仿宋" w:hAnsi="仿宋" w:eastAsia="仿宋"/>
          <w:color w:val="auto"/>
          <w:sz w:val="32"/>
          <w:szCs w:val="32"/>
          <w:highlight w:val="none"/>
        </w:rPr>
        <w:t>。</w:t>
      </w:r>
    </w:p>
    <w:p>
      <w:pPr>
        <w:ind w:firstLine="585"/>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四、一般公共预算财政拨款基本支出决算情况说明</w:t>
      </w:r>
    </w:p>
    <w:p>
      <w:pPr>
        <w:ind w:firstLine="585"/>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本部门2018年度一般公共预算财政拨款基本支出</w:t>
      </w:r>
      <w:r>
        <w:rPr>
          <w:rFonts w:hint="eastAsia" w:ascii="仿宋" w:hAnsi="仿宋" w:eastAsia="仿宋"/>
          <w:color w:val="auto"/>
          <w:sz w:val="32"/>
          <w:szCs w:val="32"/>
          <w:highlight w:val="none"/>
          <w:lang w:val="en-US" w:eastAsia="zh-CN"/>
        </w:rPr>
        <w:t>751.139155</w:t>
      </w:r>
      <w:r>
        <w:rPr>
          <w:rFonts w:hint="eastAsia" w:ascii="仿宋" w:hAnsi="仿宋" w:eastAsia="仿宋"/>
          <w:color w:val="auto"/>
          <w:sz w:val="32"/>
          <w:szCs w:val="32"/>
          <w:highlight w:val="none"/>
        </w:rPr>
        <w:t>万元，其中：</w:t>
      </w:r>
    </w:p>
    <w:p>
      <w:pPr>
        <w:ind w:firstLine="585"/>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（一）工资福利支出</w:t>
      </w:r>
      <w:r>
        <w:rPr>
          <w:rFonts w:hint="eastAsia" w:ascii="仿宋" w:hAnsi="仿宋" w:eastAsia="仿宋"/>
          <w:color w:val="auto"/>
          <w:sz w:val="32"/>
          <w:szCs w:val="32"/>
          <w:highlight w:val="none"/>
          <w:lang w:val="en-US" w:eastAsia="zh-CN"/>
        </w:rPr>
        <w:t>543.123915</w:t>
      </w:r>
      <w:r>
        <w:rPr>
          <w:rFonts w:hint="eastAsia" w:ascii="仿宋" w:hAnsi="仿宋" w:eastAsia="仿宋"/>
          <w:color w:val="auto"/>
          <w:sz w:val="32"/>
          <w:szCs w:val="32"/>
          <w:highlight w:val="none"/>
        </w:rPr>
        <w:t>万元，较2017年增加</w:t>
      </w:r>
      <w:r>
        <w:rPr>
          <w:rFonts w:hint="eastAsia" w:ascii="仿宋" w:hAnsi="仿宋" w:eastAsia="仿宋"/>
          <w:color w:val="auto"/>
          <w:sz w:val="32"/>
          <w:szCs w:val="32"/>
          <w:highlight w:val="none"/>
          <w:lang w:val="en-US" w:eastAsia="zh-CN"/>
        </w:rPr>
        <w:t>67.777141</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14.26</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人员增加</w:t>
      </w:r>
      <w:r>
        <w:rPr>
          <w:rFonts w:hint="eastAsia" w:ascii="仿宋" w:hAnsi="仿宋" w:eastAsia="仿宋"/>
          <w:color w:val="auto"/>
          <w:sz w:val="32"/>
          <w:szCs w:val="32"/>
          <w:highlight w:val="none"/>
        </w:rPr>
        <w:t>。</w:t>
      </w:r>
    </w:p>
    <w:p>
      <w:pPr>
        <w:ind w:firstLine="585"/>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（二）商品和服务支出</w:t>
      </w:r>
      <w:r>
        <w:rPr>
          <w:rFonts w:hint="eastAsia" w:ascii="仿宋" w:hAnsi="仿宋" w:eastAsia="仿宋"/>
          <w:color w:val="auto"/>
          <w:sz w:val="32"/>
          <w:szCs w:val="32"/>
          <w:highlight w:val="none"/>
          <w:lang w:val="en-US" w:eastAsia="zh-CN"/>
        </w:rPr>
        <w:t>134.126140</w:t>
      </w:r>
      <w:r>
        <w:rPr>
          <w:rFonts w:hint="eastAsia" w:ascii="仿宋" w:hAnsi="仿宋" w:eastAsia="仿宋"/>
          <w:color w:val="auto"/>
          <w:sz w:val="32"/>
          <w:szCs w:val="32"/>
          <w:highlight w:val="none"/>
        </w:rPr>
        <w:t>万元，较2017年增加</w:t>
      </w:r>
      <w:r>
        <w:rPr>
          <w:rFonts w:hint="eastAsia" w:ascii="仿宋" w:hAnsi="仿宋" w:eastAsia="仿宋"/>
          <w:color w:val="auto"/>
          <w:sz w:val="32"/>
          <w:szCs w:val="32"/>
          <w:highlight w:val="none"/>
          <w:lang w:val="en-US" w:eastAsia="zh-CN"/>
        </w:rPr>
        <w:t>24.737872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22.61</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办公费、印刷费、邮电费、劳务费等增加</w:t>
      </w:r>
      <w:r>
        <w:rPr>
          <w:rFonts w:hint="eastAsia" w:ascii="仿宋" w:hAnsi="仿宋" w:eastAsia="仿宋"/>
          <w:color w:val="auto"/>
          <w:sz w:val="32"/>
          <w:szCs w:val="32"/>
          <w:highlight w:val="none"/>
        </w:rPr>
        <w:t>。</w:t>
      </w:r>
    </w:p>
    <w:p>
      <w:pPr>
        <w:ind w:firstLine="585"/>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（三）对个人和家庭补助支出</w:t>
      </w:r>
      <w:r>
        <w:rPr>
          <w:rFonts w:hint="eastAsia" w:ascii="仿宋" w:hAnsi="仿宋" w:eastAsia="仿宋"/>
          <w:color w:val="auto"/>
          <w:sz w:val="32"/>
          <w:szCs w:val="32"/>
          <w:highlight w:val="none"/>
          <w:lang w:val="en-US" w:eastAsia="zh-CN"/>
        </w:rPr>
        <w:t>21.5391</w:t>
      </w:r>
      <w:r>
        <w:rPr>
          <w:rFonts w:hint="eastAsia" w:ascii="仿宋" w:hAnsi="仿宋" w:eastAsia="仿宋"/>
          <w:color w:val="auto"/>
          <w:sz w:val="32"/>
          <w:szCs w:val="32"/>
          <w:highlight w:val="none"/>
        </w:rPr>
        <w:t>万元，较2017年减少</w:t>
      </w:r>
      <w:r>
        <w:rPr>
          <w:rFonts w:hint="eastAsia" w:ascii="仿宋" w:hAnsi="仿宋" w:eastAsia="仿宋"/>
          <w:color w:val="auto"/>
          <w:sz w:val="32"/>
          <w:szCs w:val="32"/>
          <w:highlight w:val="none"/>
          <w:lang w:val="en-US" w:eastAsia="zh-CN"/>
        </w:rPr>
        <w:t>118.9299</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84.67</w:t>
      </w:r>
      <w:r>
        <w:rPr>
          <w:rFonts w:hint="eastAsia" w:ascii="仿宋" w:hAnsi="仿宋" w:eastAsia="仿宋"/>
          <w:color w:val="auto"/>
          <w:sz w:val="32"/>
          <w:szCs w:val="32"/>
          <w:highlight w:val="none"/>
        </w:rPr>
        <w:t xml:space="preserve"> %，主要原因是</w:t>
      </w:r>
      <w:r>
        <w:rPr>
          <w:rFonts w:hint="eastAsia" w:ascii="仿宋" w:hAnsi="仿宋" w:eastAsia="仿宋"/>
          <w:color w:val="auto"/>
          <w:sz w:val="32"/>
          <w:szCs w:val="32"/>
          <w:highlight w:val="none"/>
          <w:lang w:eastAsia="zh-CN"/>
        </w:rPr>
        <w:t>生活补贴、救济费、医疗费及其他对个人和家庭的补助支出大幅减少</w:t>
      </w:r>
      <w:r>
        <w:rPr>
          <w:rFonts w:hint="eastAsia" w:ascii="仿宋" w:hAnsi="仿宋" w:eastAsia="仿宋"/>
          <w:color w:val="auto"/>
          <w:sz w:val="32"/>
          <w:szCs w:val="32"/>
          <w:highlight w:val="none"/>
        </w:rPr>
        <w:t>。</w:t>
      </w:r>
    </w:p>
    <w:p>
      <w:pPr>
        <w:ind w:firstLine="585"/>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（四）资本性支出</w:t>
      </w:r>
      <w:r>
        <w:rPr>
          <w:rFonts w:hint="eastAsia" w:ascii="仿宋" w:hAnsi="仿宋" w:eastAsia="仿宋"/>
          <w:color w:val="auto"/>
          <w:sz w:val="32"/>
          <w:szCs w:val="32"/>
          <w:highlight w:val="none"/>
          <w:lang w:val="en-US" w:eastAsia="zh-CN"/>
        </w:rPr>
        <w:t>52.35</w:t>
      </w:r>
      <w:r>
        <w:rPr>
          <w:rFonts w:hint="eastAsia" w:ascii="仿宋" w:hAnsi="仿宋" w:eastAsia="仿宋"/>
          <w:color w:val="auto"/>
          <w:sz w:val="32"/>
          <w:szCs w:val="32"/>
          <w:highlight w:val="none"/>
        </w:rPr>
        <w:t>万元，较2017年增加</w:t>
      </w:r>
      <w:r>
        <w:rPr>
          <w:rFonts w:hint="eastAsia" w:ascii="仿宋" w:hAnsi="仿宋" w:eastAsia="仿宋"/>
          <w:color w:val="auto"/>
          <w:sz w:val="32"/>
          <w:szCs w:val="32"/>
          <w:highlight w:val="none"/>
          <w:lang w:val="en-US" w:eastAsia="zh-CN"/>
        </w:rPr>
        <w:t>52.35</w:t>
      </w:r>
      <w:r>
        <w:rPr>
          <w:rFonts w:hint="eastAsia" w:ascii="仿宋" w:hAnsi="仿宋" w:eastAsia="仿宋"/>
          <w:color w:val="auto"/>
          <w:sz w:val="32"/>
          <w:szCs w:val="32"/>
          <w:highlight w:val="none"/>
        </w:rPr>
        <w:t>万元，主要原因是</w:t>
      </w:r>
      <w:r>
        <w:rPr>
          <w:rFonts w:hint="eastAsia" w:ascii="仿宋" w:hAnsi="仿宋" w:eastAsia="仿宋"/>
          <w:color w:val="auto"/>
          <w:sz w:val="32"/>
          <w:szCs w:val="32"/>
          <w:highlight w:val="none"/>
          <w:lang w:eastAsia="zh-CN"/>
        </w:rPr>
        <w:t>新增办公设备购置及信息网络及软件购置更新费用</w:t>
      </w:r>
      <w:r>
        <w:rPr>
          <w:rFonts w:hint="eastAsia" w:ascii="仿宋" w:hAnsi="仿宋" w:eastAsia="仿宋"/>
          <w:color w:val="auto"/>
          <w:sz w:val="32"/>
          <w:szCs w:val="32"/>
          <w:highlight w:val="none"/>
        </w:rPr>
        <w:t>。</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五、一般公共预算财政拨款“三公”经费支出决算情况说明</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本部门2018年度一般公共预算财政拨款“三公”经费支出年初预算数为</w:t>
      </w:r>
      <w:r>
        <w:rPr>
          <w:rFonts w:hint="eastAsia" w:ascii="仿宋" w:hAnsi="仿宋" w:eastAsia="仿宋"/>
          <w:color w:val="auto"/>
          <w:sz w:val="32"/>
          <w:szCs w:val="32"/>
          <w:highlight w:val="none"/>
          <w:lang w:val="en-US" w:eastAsia="zh-CN"/>
        </w:rPr>
        <w:t>20.73</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9.428505</w:t>
      </w:r>
      <w:r>
        <w:rPr>
          <w:rFonts w:hint="eastAsia" w:ascii="仿宋" w:hAnsi="仿宋" w:eastAsia="仿宋"/>
          <w:color w:val="auto"/>
          <w:sz w:val="32"/>
          <w:szCs w:val="32"/>
          <w:highlight w:val="none"/>
        </w:rPr>
        <w:t>万元，完成预算的</w:t>
      </w:r>
      <w:r>
        <w:rPr>
          <w:rFonts w:hint="eastAsia" w:ascii="仿宋" w:hAnsi="仿宋" w:eastAsia="仿宋"/>
          <w:color w:val="auto"/>
          <w:sz w:val="32"/>
          <w:szCs w:val="32"/>
          <w:highlight w:val="none"/>
          <w:lang w:val="en-US" w:eastAsia="zh-CN"/>
        </w:rPr>
        <w:t>45.48</w:t>
      </w:r>
      <w:r>
        <w:rPr>
          <w:rFonts w:hint="eastAsia" w:ascii="仿宋" w:hAnsi="仿宋" w:eastAsia="仿宋"/>
          <w:color w:val="auto"/>
          <w:sz w:val="32"/>
          <w:szCs w:val="32"/>
          <w:highlight w:val="none"/>
        </w:rPr>
        <w:t>%，决算数较2017年增加</w:t>
      </w:r>
      <w:r>
        <w:rPr>
          <w:rFonts w:hint="eastAsia" w:ascii="仿宋" w:hAnsi="仿宋" w:eastAsia="仿宋"/>
          <w:color w:val="auto"/>
          <w:sz w:val="32"/>
          <w:szCs w:val="32"/>
          <w:highlight w:val="none"/>
          <w:lang w:val="en-US" w:eastAsia="zh-CN"/>
        </w:rPr>
        <w:t>1.268046</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15.54</w:t>
      </w:r>
      <w:r>
        <w:rPr>
          <w:rFonts w:hint="eastAsia" w:ascii="仿宋" w:hAnsi="仿宋" w:eastAsia="仿宋"/>
          <w:color w:val="auto"/>
          <w:sz w:val="32"/>
          <w:szCs w:val="32"/>
          <w:highlight w:val="none"/>
        </w:rPr>
        <w:t>%，其中：</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（一）因公出国（境）支出年初预算数为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 xml:space="preserve">万元，决算数为 </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（二）公务接待费支出年初预算数为</w:t>
      </w:r>
      <w:r>
        <w:rPr>
          <w:rFonts w:hint="eastAsia" w:ascii="仿宋" w:hAnsi="仿宋" w:eastAsia="仿宋"/>
          <w:color w:val="auto"/>
          <w:sz w:val="32"/>
          <w:szCs w:val="32"/>
          <w:highlight w:val="none"/>
          <w:lang w:val="en-US" w:eastAsia="zh-CN"/>
        </w:rPr>
        <w:t>16.43</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5.4395</w:t>
      </w:r>
      <w:r>
        <w:rPr>
          <w:rFonts w:hint="eastAsia" w:ascii="仿宋" w:hAnsi="仿宋" w:eastAsia="仿宋"/>
          <w:color w:val="auto"/>
          <w:sz w:val="32"/>
          <w:szCs w:val="32"/>
          <w:highlight w:val="none"/>
        </w:rPr>
        <w:t>万元，完成预算的</w:t>
      </w:r>
      <w:r>
        <w:rPr>
          <w:rFonts w:hint="eastAsia" w:ascii="仿宋" w:hAnsi="仿宋" w:eastAsia="仿宋"/>
          <w:color w:val="auto"/>
          <w:sz w:val="32"/>
          <w:szCs w:val="32"/>
          <w:highlight w:val="none"/>
          <w:lang w:val="en-US" w:eastAsia="zh-CN"/>
        </w:rPr>
        <w:t>33.11</w:t>
      </w:r>
      <w:r>
        <w:rPr>
          <w:rFonts w:hint="eastAsia" w:ascii="仿宋" w:hAnsi="仿宋" w:eastAsia="仿宋"/>
          <w:color w:val="auto"/>
          <w:sz w:val="32"/>
          <w:szCs w:val="32"/>
          <w:highlight w:val="none"/>
        </w:rPr>
        <w:t>%，决算数较2017年增加</w:t>
      </w:r>
      <w:r>
        <w:rPr>
          <w:rFonts w:hint="eastAsia" w:ascii="仿宋" w:hAnsi="仿宋" w:eastAsia="仿宋"/>
          <w:color w:val="auto"/>
          <w:sz w:val="32"/>
          <w:szCs w:val="32"/>
          <w:highlight w:val="none"/>
          <w:lang w:val="en-US" w:eastAsia="zh-CN"/>
        </w:rPr>
        <w:t>0.1325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2.50</w:t>
      </w:r>
      <w:r>
        <w:rPr>
          <w:rFonts w:hint="eastAsia" w:ascii="仿宋" w:hAnsi="仿宋" w:eastAsia="仿宋"/>
          <w:color w:val="auto"/>
          <w:sz w:val="32"/>
          <w:szCs w:val="32"/>
          <w:highlight w:val="none"/>
        </w:rPr>
        <w:t>%。决算数较年初预算数</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rPr>
        <w:t>的主要原因是</w:t>
      </w:r>
      <w:r>
        <w:rPr>
          <w:rFonts w:hint="eastAsia" w:ascii="仿宋" w:hAnsi="仿宋" w:eastAsia="仿宋"/>
          <w:color w:val="auto"/>
          <w:sz w:val="32"/>
          <w:szCs w:val="32"/>
          <w:highlight w:val="none"/>
          <w:lang w:eastAsia="zh-CN"/>
        </w:rPr>
        <w:t>严格按照有关规定执行</w:t>
      </w:r>
      <w:r>
        <w:rPr>
          <w:rFonts w:hint="eastAsia" w:ascii="仿宋" w:hAnsi="仿宋" w:eastAsia="仿宋"/>
          <w:color w:val="auto"/>
          <w:sz w:val="32"/>
          <w:szCs w:val="32"/>
          <w:highlight w:val="none"/>
        </w:rPr>
        <w:t>。</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（三）公务用车购置及运行维护费支出</w:t>
      </w:r>
      <w:r>
        <w:rPr>
          <w:rFonts w:hint="eastAsia" w:ascii="仿宋" w:hAnsi="仿宋" w:eastAsia="仿宋"/>
          <w:color w:val="auto"/>
          <w:sz w:val="32"/>
          <w:szCs w:val="32"/>
          <w:highlight w:val="none"/>
          <w:lang w:val="en-US" w:eastAsia="zh-CN"/>
        </w:rPr>
        <w:t>3.989005</w:t>
      </w:r>
      <w:r>
        <w:rPr>
          <w:rFonts w:hint="eastAsia" w:ascii="仿宋" w:hAnsi="仿宋" w:eastAsia="仿宋"/>
          <w:color w:val="auto"/>
          <w:sz w:val="32"/>
          <w:szCs w:val="32"/>
          <w:highlight w:val="none"/>
        </w:rPr>
        <w:t>万元，其中公务用车购置年初预算数为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万元；公务用车运行维护费支出年初预算数为</w:t>
      </w:r>
      <w:r>
        <w:rPr>
          <w:rFonts w:hint="eastAsia" w:ascii="仿宋" w:hAnsi="仿宋" w:eastAsia="仿宋"/>
          <w:color w:val="auto"/>
          <w:sz w:val="32"/>
          <w:szCs w:val="32"/>
          <w:highlight w:val="none"/>
          <w:lang w:val="en-US" w:eastAsia="zh-CN"/>
        </w:rPr>
        <w:t>4.3</w:t>
      </w:r>
      <w:r>
        <w:rPr>
          <w:rFonts w:hint="eastAsia" w:ascii="仿宋" w:hAnsi="仿宋" w:eastAsia="仿宋"/>
          <w:color w:val="auto"/>
          <w:sz w:val="32"/>
          <w:szCs w:val="32"/>
          <w:highlight w:val="none"/>
        </w:rPr>
        <w:t>万元，决算数为</w:t>
      </w:r>
      <w:r>
        <w:rPr>
          <w:rFonts w:hint="eastAsia" w:ascii="仿宋" w:hAnsi="仿宋" w:eastAsia="仿宋"/>
          <w:color w:val="auto"/>
          <w:sz w:val="32"/>
          <w:szCs w:val="32"/>
          <w:highlight w:val="none"/>
          <w:lang w:val="en-US" w:eastAsia="zh-CN"/>
        </w:rPr>
        <w:t>3.989005</w:t>
      </w:r>
      <w:r>
        <w:rPr>
          <w:rFonts w:hint="eastAsia" w:ascii="仿宋" w:hAnsi="仿宋" w:eastAsia="仿宋"/>
          <w:color w:val="auto"/>
          <w:sz w:val="32"/>
          <w:szCs w:val="32"/>
          <w:highlight w:val="none"/>
        </w:rPr>
        <w:t>万元，完成预算的</w:t>
      </w:r>
      <w:r>
        <w:rPr>
          <w:rFonts w:hint="eastAsia" w:ascii="仿宋" w:hAnsi="仿宋" w:eastAsia="仿宋"/>
          <w:color w:val="auto"/>
          <w:sz w:val="32"/>
          <w:szCs w:val="32"/>
          <w:highlight w:val="none"/>
          <w:lang w:val="en-US" w:eastAsia="zh-CN"/>
        </w:rPr>
        <w:t>92.77</w:t>
      </w:r>
      <w:r>
        <w:rPr>
          <w:rFonts w:hint="eastAsia" w:ascii="仿宋" w:hAnsi="仿宋" w:eastAsia="仿宋"/>
          <w:color w:val="auto"/>
          <w:sz w:val="32"/>
          <w:szCs w:val="32"/>
          <w:highlight w:val="none"/>
        </w:rPr>
        <w:t>%，决算数较2017年增加</w:t>
      </w:r>
      <w:r>
        <w:rPr>
          <w:rFonts w:hint="eastAsia" w:ascii="仿宋" w:hAnsi="仿宋" w:eastAsia="仿宋"/>
          <w:color w:val="auto"/>
          <w:sz w:val="32"/>
          <w:szCs w:val="32"/>
          <w:highlight w:val="none"/>
          <w:lang w:val="en-US" w:eastAsia="zh-CN"/>
        </w:rPr>
        <w:t>1.135546</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39.80</w:t>
      </w:r>
      <w:r>
        <w:rPr>
          <w:rFonts w:hint="eastAsia" w:ascii="仿宋" w:hAnsi="仿宋" w:eastAsia="仿宋"/>
          <w:color w:val="auto"/>
          <w:sz w:val="32"/>
          <w:szCs w:val="32"/>
          <w:highlight w:val="none"/>
        </w:rPr>
        <w:t>%。决算数较年初预算数</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rPr>
        <w:t>的主要原因是</w:t>
      </w:r>
      <w:r>
        <w:rPr>
          <w:rFonts w:hint="eastAsia" w:ascii="仿宋" w:hAnsi="仿宋" w:eastAsia="仿宋"/>
          <w:color w:val="auto"/>
          <w:sz w:val="32"/>
          <w:szCs w:val="32"/>
          <w:highlight w:val="none"/>
          <w:lang w:eastAsia="zh-CN"/>
        </w:rPr>
        <w:t>严格按照有关规定执行</w:t>
      </w:r>
      <w:r>
        <w:rPr>
          <w:rFonts w:hint="eastAsia" w:ascii="仿宋" w:hAnsi="仿宋" w:eastAsia="仿宋"/>
          <w:color w:val="auto"/>
          <w:sz w:val="32"/>
          <w:szCs w:val="32"/>
          <w:highlight w:val="none"/>
        </w:rPr>
        <w:t>。</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六、机关运行经费支出情况说明</w:t>
      </w:r>
    </w:p>
    <w:p>
      <w:pPr>
        <w:ind w:firstLine="63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本部门2018年度机关运行经费支出</w:t>
      </w:r>
      <w:r>
        <w:rPr>
          <w:rFonts w:hint="eastAsia" w:ascii="仿宋" w:hAnsi="仿宋" w:eastAsia="仿宋"/>
          <w:color w:val="auto"/>
          <w:sz w:val="32"/>
          <w:szCs w:val="32"/>
          <w:highlight w:val="none"/>
          <w:lang w:val="en-US" w:eastAsia="zh-CN"/>
        </w:rPr>
        <w:t>186.47614</w:t>
      </w:r>
      <w:r>
        <w:rPr>
          <w:rFonts w:hint="eastAsia" w:ascii="仿宋" w:hAnsi="仿宋" w:eastAsia="仿宋"/>
          <w:color w:val="auto"/>
          <w:sz w:val="32"/>
          <w:szCs w:val="32"/>
          <w:highlight w:val="none"/>
        </w:rPr>
        <w:t>万元（与部门决算中行政单位和参照公务员法管理事业单位一般公共预算财政拨款基本支出中公用经费之和保持一致），较年初预算数</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lang w:val="en-US" w:eastAsia="zh-CN"/>
        </w:rPr>
        <w:t>14.52386</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lang w:val="en-US" w:eastAsia="zh-CN"/>
        </w:rPr>
        <w:t>7.23</w:t>
      </w:r>
      <w:r>
        <w:rPr>
          <w:rFonts w:hint="eastAsia" w:ascii="仿宋" w:hAnsi="仿宋" w:eastAsia="仿宋"/>
          <w:color w:val="auto"/>
          <w:sz w:val="32"/>
          <w:szCs w:val="32"/>
          <w:highlight w:val="none"/>
        </w:rPr>
        <w:t>%，主要原因是</w:t>
      </w:r>
      <w:r>
        <w:rPr>
          <w:rFonts w:hint="eastAsia" w:ascii="仿宋" w:hAnsi="仿宋" w:eastAsia="仿宋"/>
          <w:color w:val="auto"/>
          <w:sz w:val="32"/>
          <w:szCs w:val="32"/>
          <w:highlight w:val="none"/>
          <w:lang w:eastAsia="zh-CN"/>
        </w:rPr>
        <w:t>严格按照有关规定执行</w:t>
      </w:r>
      <w:r>
        <w:rPr>
          <w:rFonts w:hint="eastAsia" w:ascii="仿宋" w:hAnsi="仿宋" w:eastAsia="仿宋"/>
          <w:color w:val="auto"/>
          <w:sz w:val="32"/>
          <w:szCs w:val="32"/>
          <w:highlight w:val="none"/>
        </w:rPr>
        <w:t xml:space="preserve">。 </w:t>
      </w:r>
    </w:p>
    <w:p>
      <w:pPr>
        <w:ind w:firstLine="630"/>
        <w:jc w:val="left"/>
        <w:rPr>
          <w:rFonts w:ascii="黑体" w:hAnsi="黑体" w:eastAsia="黑体"/>
          <w:color w:val="auto"/>
          <w:sz w:val="32"/>
          <w:szCs w:val="32"/>
          <w:highlight w:val="none"/>
        </w:rPr>
      </w:pPr>
      <w:r>
        <w:rPr>
          <w:rFonts w:hint="eastAsia" w:ascii="黑体" w:hAnsi="黑体" w:eastAsia="黑体"/>
          <w:color w:val="auto"/>
          <w:sz w:val="32"/>
          <w:szCs w:val="32"/>
          <w:highlight w:val="none"/>
        </w:rPr>
        <w:t>七、政府采购支出情况说明</w:t>
      </w:r>
    </w:p>
    <w:p>
      <w:pPr>
        <w:pStyle w:val="9"/>
        <w:spacing w:line="600" w:lineRule="atLeast"/>
        <w:ind w:firstLine="6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本部门2018年度政府采购支出总额</w:t>
      </w:r>
      <w:r>
        <w:rPr>
          <w:rFonts w:hint="eastAsia" w:ascii="仿宋" w:hAnsi="仿宋" w:eastAsia="仿宋"/>
          <w:color w:val="auto"/>
          <w:sz w:val="32"/>
          <w:szCs w:val="32"/>
          <w:highlight w:val="none"/>
          <w:lang w:val="en-US" w:eastAsia="zh-CN"/>
        </w:rPr>
        <w:t>12.912</w:t>
      </w:r>
      <w:r>
        <w:rPr>
          <w:rFonts w:hint="eastAsia" w:ascii="仿宋" w:hAnsi="仿宋" w:eastAsia="仿宋"/>
          <w:color w:val="auto"/>
          <w:sz w:val="32"/>
          <w:szCs w:val="32"/>
          <w:highlight w:val="none"/>
        </w:rPr>
        <w:t>万元，其中：政府采购货物支出</w:t>
      </w:r>
      <w:r>
        <w:rPr>
          <w:rFonts w:hint="eastAsia" w:ascii="仿宋" w:hAnsi="仿宋" w:eastAsia="仿宋"/>
          <w:color w:val="auto"/>
          <w:sz w:val="32"/>
          <w:szCs w:val="32"/>
          <w:highlight w:val="none"/>
          <w:lang w:val="en-US" w:eastAsia="zh-CN"/>
        </w:rPr>
        <w:t>12.912</w:t>
      </w:r>
      <w:r>
        <w:rPr>
          <w:rFonts w:hint="eastAsia" w:ascii="仿宋" w:hAnsi="仿宋" w:eastAsia="仿宋"/>
          <w:color w:val="auto"/>
          <w:sz w:val="32"/>
          <w:szCs w:val="32"/>
          <w:highlight w:val="none"/>
        </w:rPr>
        <w:t>万元、政府采购工程支出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万元、政府采购服务支出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万元。授予中小企业合同金额</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万元，占政府采购支出总额的</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八、国有资产占用情况说明</w:t>
      </w:r>
    </w:p>
    <w:p>
      <w:pPr>
        <w:ind w:firstLine="630"/>
        <w:jc w:val="left"/>
        <w:rPr>
          <w:color w:val="auto"/>
          <w:highlight w:val="none"/>
        </w:rPr>
      </w:pPr>
      <w:r>
        <w:rPr>
          <w:rFonts w:hint="eastAsia" w:ascii="仿宋" w:hAnsi="仿宋" w:eastAsia="仿宋"/>
          <w:color w:val="auto"/>
          <w:kern w:val="0"/>
          <w:sz w:val="32"/>
          <w:szCs w:val="32"/>
          <w:highlight w:val="none"/>
        </w:rPr>
        <w:t>截止2018年12月31日，本部门共有车辆</w:t>
      </w:r>
      <w:r>
        <w:rPr>
          <w:rFonts w:hint="eastAsia" w:ascii="仿宋" w:hAnsi="仿宋" w:eastAsia="仿宋"/>
          <w:color w:val="auto"/>
          <w:kern w:val="0"/>
          <w:sz w:val="32"/>
          <w:szCs w:val="32"/>
          <w:highlight w:val="none"/>
          <w:lang w:val="en-US" w:eastAsia="zh-CN"/>
        </w:rPr>
        <w:t>2</w:t>
      </w:r>
      <w:r>
        <w:rPr>
          <w:rFonts w:hint="eastAsia" w:ascii="仿宋" w:hAnsi="仿宋" w:eastAsia="仿宋"/>
          <w:color w:val="auto"/>
          <w:kern w:val="0"/>
          <w:sz w:val="32"/>
          <w:szCs w:val="32"/>
          <w:highlight w:val="none"/>
        </w:rPr>
        <w:t>辆，其中执法执勤用车</w:t>
      </w:r>
      <w:r>
        <w:rPr>
          <w:rFonts w:hint="eastAsia" w:ascii="仿宋" w:hAnsi="仿宋" w:eastAsia="仿宋"/>
          <w:color w:val="auto"/>
          <w:kern w:val="0"/>
          <w:sz w:val="32"/>
          <w:szCs w:val="32"/>
          <w:highlight w:val="none"/>
          <w:lang w:val="en-US" w:eastAsia="zh-CN"/>
        </w:rPr>
        <w:t>2</w:t>
      </w:r>
      <w:r>
        <w:rPr>
          <w:rFonts w:hint="eastAsia" w:ascii="仿宋" w:hAnsi="仿宋" w:eastAsia="仿宋"/>
          <w:color w:val="auto"/>
          <w:kern w:val="0"/>
          <w:sz w:val="32"/>
          <w:szCs w:val="32"/>
          <w:highlight w:val="none"/>
        </w:rPr>
        <w:t>辆；单位</w:t>
      </w:r>
      <w:r>
        <w:rPr>
          <w:rFonts w:hint="eastAsia" w:ascii="仿宋" w:hAnsi="仿宋" w:eastAsia="仿宋"/>
          <w:color w:val="auto"/>
          <w:kern w:val="0"/>
          <w:sz w:val="32"/>
          <w:szCs w:val="32"/>
          <w:highlight w:val="none"/>
          <w:lang w:eastAsia="zh-CN"/>
        </w:rPr>
        <w:t>无</w:t>
      </w:r>
      <w:r>
        <w:rPr>
          <w:rFonts w:hint="eastAsia" w:ascii="仿宋" w:hAnsi="仿宋" w:eastAsia="仿宋"/>
          <w:color w:val="auto"/>
          <w:kern w:val="0"/>
          <w:sz w:val="32"/>
          <w:szCs w:val="32"/>
          <w:highlight w:val="none"/>
        </w:rPr>
        <w:t>价值50万元以上通用设备</w:t>
      </w:r>
      <w:r>
        <w:rPr>
          <w:rFonts w:hint="eastAsia" w:ascii="仿宋" w:hAnsi="仿宋" w:eastAsia="仿宋"/>
          <w:color w:val="auto"/>
          <w:kern w:val="0"/>
          <w:sz w:val="32"/>
          <w:szCs w:val="32"/>
          <w:highlight w:val="none"/>
          <w:lang w:eastAsia="zh-CN"/>
        </w:rPr>
        <w:t>、</w:t>
      </w:r>
      <w:r>
        <w:rPr>
          <w:rFonts w:hint="eastAsia" w:ascii="仿宋" w:hAnsi="仿宋" w:eastAsia="仿宋"/>
          <w:color w:val="auto"/>
          <w:kern w:val="0"/>
          <w:sz w:val="32"/>
          <w:szCs w:val="32"/>
          <w:highlight w:val="none"/>
        </w:rPr>
        <w:t>价值100万元以上专用设备。</w:t>
      </w:r>
    </w:p>
    <w:p>
      <w:pPr>
        <w:ind w:firstLine="630"/>
        <w:jc w:val="lef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九、预算绩效情况说明</w:t>
      </w:r>
    </w:p>
    <w:p>
      <w:pPr>
        <w:numPr>
          <w:ilvl w:val="0"/>
          <w:numId w:val="0"/>
        </w:numPr>
        <w:ind w:firstLine="640" w:firstLineChars="200"/>
        <w:jc w:val="both"/>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我单位暂时未开展预算绩效管理工作，今后争取聘请第三方机构对项目开展绩效评价，做到公正公平。</w:t>
      </w:r>
    </w:p>
    <w:p>
      <w:pPr>
        <w:numPr>
          <w:ilvl w:val="0"/>
          <w:numId w:val="0"/>
        </w:numPr>
        <w:ind w:firstLine="600" w:firstLineChars="200"/>
        <w:jc w:val="both"/>
        <w:rPr>
          <w:rFonts w:hint="eastAsia" w:ascii="仿宋" w:hAnsi="仿宋" w:eastAsia="仿宋"/>
          <w:color w:val="auto"/>
          <w:kern w:val="0"/>
          <w:sz w:val="30"/>
          <w:szCs w:val="30"/>
          <w:highlight w:val="none"/>
          <w:lang w:eastAsia="zh-CN"/>
        </w:rPr>
      </w:pPr>
    </w:p>
    <w:p>
      <w:pPr>
        <w:numPr>
          <w:ilvl w:val="0"/>
          <w:numId w:val="1"/>
        </w:numPr>
        <w:ind w:firstLine="630"/>
        <w:jc w:val="center"/>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lang w:eastAsia="zh-CN"/>
        </w:rPr>
        <w:t>名词解释</w:t>
      </w:r>
    </w:p>
    <w:p>
      <w:pPr>
        <w:ind w:firstLine="630"/>
        <w:jc w:val="left"/>
        <w:rPr>
          <w:rFonts w:hint="eastAsia" w:ascii="黑体" w:hAnsi="黑体" w:eastAsia="黑体"/>
          <w:color w:val="auto"/>
          <w:sz w:val="32"/>
          <w:szCs w:val="32"/>
          <w:highlight w:val="none"/>
          <w:lang w:eastAsia="zh-CN"/>
        </w:rPr>
      </w:pPr>
      <w:r>
        <w:rPr>
          <w:rFonts w:hint="eastAsia" w:ascii="黑体" w:hAnsi="黑体" w:eastAsia="黑体"/>
          <w:color w:val="auto"/>
          <w:sz w:val="32"/>
          <w:szCs w:val="32"/>
          <w:highlight w:val="none"/>
          <w:lang w:eastAsia="zh-CN"/>
        </w:rPr>
        <w:t>一、收入科目</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（一）财政拨款：指市级财政当年拨付的资金。</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（二）其他收入：指除财政拨款、事业收入、事业单位经营收入等以外的各项收入。本局的其他收入是中央燃油税转移支付收入。</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（三）上年结转结余：填列201</w:t>
      </w:r>
      <w:r>
        <w:rPr>
          <w:rFonts w:hint="eastAsia" w:ascii="仿宋" w:hAnsi="仿宋" w:eastAsia="仿宋"/>
          <w:color w:val="auto"/>
          <w:kern w:val="0"/>
          <w:sz w:val="32"/>
          <w:szCs w:val="32"/>
          <w:highlight w:val="none"/>
          <w:lang w:val="en-US" w:eastAsia="zh-CN"/>
        </w:rPr>
        <w:t>7</w:t>
      </w:r>
      <w:r>
        <w:rPr>
          <w:rFonts w:hint="eastAsia" w:ascii="仿宋" w:hAnsi="仿宋" w:eastAsia="仿宋"/>
          <w:color w:val="auto"/>
          <w:kern w:val="0"/>
          <w:sz w:val="32"/>
          <w:szCs w:val="32"/>
          <w:highlight w:val="none"/>
          <w:lang w:eastAsia="zh-CN"/>
        </w:rPr>
        <w:t>年全部结转和结余的资金数，包括当年结转结余资金和历年滚存结转结余资金。</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二、支出科目</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一）“三公”经费：反映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二）机关运行经费：为保障行政（含参照公务员法管理的事业单位）运行用于购买货物和服务的各项资金，包括办公及印刷费、邮电费、差旅费、会议费、福利费、日常维修费、专用材料及一般设备购置费、办公用房水电费、办公用房取暖费、办公用房物业管理费及其他费用。</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（三）住房保障支出：住房公积金支出。</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（四）工资福利支出：反映单位开支的在职职工的各类劳动报酬，以及为上述人员缴纳的各项社会保险费等。</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（五）商品和服务支出：反映单位购买商品和服务的支出，不包括用于购置固定资产的资本性支出。</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（六）对个人和家庭的补助：反映单位用于对个人和家庭的补助支出，包括在职职工的公积金费用。</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（七）培训支出：反映各部门安排的用于培训的支出。</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（八）机关事业单位基本养老保险缴费支出：反映机关事业单位实施养老保险制度由单位缴纳的基本养老保险费的支出。</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（九）行政单位医疗：反映行政事业单位基本医疗保险缴费经费。</w:t>
      </w:r>
    </w:p>
    <w:p>
      <w:pPr>
        <w:numPr>
          <w:ilvl w:val="0"/>
          <w:numId w:val="0"/>
        </w:numPr>
        <w:ind w:firstLine="640" w:firstLineChars="200"/>
        <w:jc w:val="left"/>
        <w:rPr>
          <w:rFonts w:hint="eastAsia" w:ascii="仿宋" w:hAnsi="仿宋" w:eastAsia="仿宋"/>
          <w:color w:val="auto"/>
          <w:kern w:val="0"/>
          <w:sz w:val="32"/>
          <w:szCs w:val="32"/>
          <w:highlight w:val="none"/>
          <w:lang w:eastAsia="zh-CN"/>
        </w:rPr>
      </w:pPr>
      <w:r>
        <w:rPr>
          <w:rFonts w:hint="eastAsia" w:ascii="仿宋" w:hAnsi="仿宋" w:eastAsia="仿宋"/>
          <w:color w:val="auto"/>
          <w:kern w:val="0"/>
          <w:sz w:val="32"/>
          <w:szCs w:val="32"/>
          <w:highlight w:val="none"/>
          <w:lang w:eastAsia="zh-CN"/>
        </w:rPr>
        <w:t>（十）事业单位医疗：反映财政部门集中安排的事业单位基本医疗保险缴费经费。</w:t>
      </w:r>
    </w:p>
    <w:p>
      <w:pPr>
        <w:numPr>
          <w:ilvl w:val="0"/>
          <w:numId w:val="0"/>
        </w:numPr>
        <w:ind w:firstLine="600" w:firstLineChars="200"/>
        <w:jc w:val="left"/>
        <w:rPr>
          <w:rFonts w:hint="eastAsia" w:ascii="仿宋" w:hAnsi="仿宋" w:eastAsia="仿宋"/>
          <w:color w:val="auto"/>
          <w:kern w:val="0"/>
          <w:sz w:val="30"/>
          <w:szCs w:val="30"/>
          <w:highlight w:val="none"/>
          <w:lang w:eastAsia="zh-CN"/>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D64C71"/>
    <w:multiLevelType w:val="singleLevel"/>
    <w:tmpl w:val="D2D64C71"/>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6656D9"/>
    <w:rsid w:val="01DF7789"/>
    <w:rsid w:val="07053562"/>
    <w:rsid w:val="076656D9"/>
    <w:rsid w:val="0B2171A9"/>
    <w:rsid w:val="12147174"/>
    <w:rsid w:val="1F134311"/>
    <w:rsid w:val="22F54CDF"/>
    <w:rsid w:val="25E54393"/>
    <w:rsid w:val="262C03DF"/>
    <w:rsid w:val="263242EC"/>
    <w:rsid w:val="29CE1469"/>
    <w:rsid w:val="2B3A5708"/>
    <w:rsid w:val="2DDF3F71"/>
    <w:rsid w:val="2F2957AA"/>
    <w:rsid w:val="30FE6684"/>
    <w:rsid w:val="310C0A08"/>
    <w:rsid w:val="39F82989"/>
    <w:rsid w:val="3D22651D"/>
    <w:rsid w:val="40711167"/>
    <w:rsid w:val="43783BFA"/>
    <w:rsid w:val="48F12F0F"/>
    <w:rsid w:val="499A13C7"/>
    <w:rsid w:val="4A401AAF"/>
    <w:rsid w:val="4B015964"/>
    <w:rsid w:val="4B3B753F"/>
    <w:rsid w:val="4C7A3788"/>
    <w:rsid w:val="4CEB3EC0"/>
    <w:rsid w:val="53990CD7"/>
    <w:rsid w:val="54655024"/>
    <w:rsid w:val="54F52A4A"/>
    <w:rsid w:val="5C3A490F"/>
    <w:rsid w:val="61CA4729"/>
    <w:rsid w:val="665660BA"/>
    <w:rsid w:val="6A0253C7"/>
    <w:rsid w:val="6C2505F1"/>
    <w:rsid w:val="6D9E5A92"/>
    <w:rsid w:val="6F2B30B3"/>
    <w:rsid w:val="71BB0F29"/>
    <w:rsid w:val="75D16808"/>
    <w:rsid w:val="76EF560C"/>
    <w:rsid w:val="7A9B3C17"/>
    <w:rsid w:val="7B8F3696"/>
    <w:rsid w:val="7C457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qFormat/>
    <w:uiPriority w:val="0"/>
    <w:rPr>
      <w:color w:val="000000"/>
      <w:u w:val="none"/>
    </w:rPr>
  </w:style>
  <w:style w:type="character" w:styleId="6">
    <w:name w:val="Emphasis"/>
    <w:basedOn w:val="4"/>
    <w:qFormat/>
    <w:uiPriority w:val="0"/>
  </w:style>
  <w:style w:type="character" w:styleId="7">
    <w:name w:val="Hyperlink"/>
    <w:basedOn w:val="4"/>
    <w:qFormat/>
    <w:uiPriority w:val="0"/>
    <w:rPr>
      <w:color w:val="000000"/>
      <w:u w:val="none"/>
    </w:rPr>
  </w:style>
  <w:style w:type="character" w:styleId="8">
    <w:name w:val="HTML Code"/>
    <w:basedOn w:val="4"/>
    <w:qFormat/>
    <w:uiPriority w:val="0"/>
    <w:rPr>
      <w:rFonts w:ascii="Courier New" w:hAnsi="Courier New"/>
      <w:sz w:val="20"/>
    </w:rPr>
  </w:style>
  <w:style w:type="paragraph" w:customStyle="1" w:styleId="9">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2019-10-18T05:49:00Z</dcterms:created>
  <dc:creator>DELL</dc:creator>
  <cp:lastModifiedBy>DELL</cp:lastModifiedBy>
  <dcterms:modified xsi:type="dcterms:W3CDTF">2019-10-24T02:52:34Z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