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Calibri" w:eastAsia="黑体" w:cs="Times New Roman"/>
          <w:sz w:val="44"/>
          <w:szCs w:val="36"/>
        </w:rPr>
      </w:pPr>
      <w:r>
        <w:rPr>
          <w:rFonts w:hint="eastAsia" w:ascii="黑体" w:hAnsi="黑体" w:eastAsia="黑体" w:cs="Times New Roman"/>
          <w:sz w:val="44"/>
          <w:szCs w:val="36"/>
        </w:rPr>
        <w:t>共青城市文化旅游广播电影电视综合执法大队</w:t>
      </w:r>
      <w:r>
        <w:rPr>
          <w:rFonts w:hint="eastAsia" w:ascii="黑体" w:hAnsi="Calibri" w:eastAsia="黑体" w:cs="Times New Roman"/>
          <w:sz w:val="44"/>
          <w:szCs w:val="36"/>
        </w:rPr>
        <w:t>2018年度部门决算</w:t>
      </w:r>
    </w:p>
    <w:p>
      <w:pPr>
        <w:spacing w:line="600" w:lineRule="exact"/>
        <w:jc w:val="center"/>
        <w:rPr>
          <w:rFonts w:hint="eastAsia" w:ascii="黑体" w:hAnsi="Calibri" w:eastAsia="黑体" w:cs="Times New Roman"/>
          <w:sz w:val="44"/>
          <w:szCs w:val="36"/>
        </w:rPr>
      </w:pPr>
    </w:p>
    <w:p>
      <w:pPr>
        <w:spacing w:line="600" w:lineRule="exact"/>
        <w:jc w:val="center"/>
        <w:rPr>
          <w:rFonts w:hint="eastAsia" w:ascii="黑体" w:hAnsi="Calibri" w:eastAsia="黑体" w:cs="Times New Roman"/>
          <w:sz w:val="40"/>
          <w:szCs w:val="36"/>
        </w:rPr>
      </w:pPr>
      <w:r>
        <w:rPr>
          <w:rFonts w:hint="eastAsia" w:ascii="黑体" w:hAnsi="Calibri" w:eastAsia="黑体" w:cs="Times New Roman"/>
          <w:sz w:val="40"/>
          <w:szCs w:val="36"/>
        </w:rPr>
        <w:t xml:space="preserve">目    录  </w:t>
      </w:r>
    </w:p>
    <w:p>
      <w:pPr>
        <w:widowControl/>
        <w:spacing w:line="600" w:lineRule="exact"/>
        <w:ind w:firstLine="640"/>
        <w:jc w:val="left"/>
        <w:rPr>
          <w:rFonts w:hint="eastAsia" w:ascii="仿宋_GB2312" w:hAnsi="Calibri" w:eastAsia="仿宋_GB2312" w:cs="Times New Roman"/>
          <w:sz w:val="32"/>
          <w:szCs w:val="30"/>
        </w:rPr>
      </w:pPr>
    </w:p>
    <w:p>
      <w:pPr>
        <w:widowControl/>
        <w:spacing w:line="600" w:lineRule="exact"/>
        <w:ind w:firstLine="640"/>
        <w:jc w:val="left"/>
        <w:rPr>
          <w:rFonts w:hint="eastAsia" w:ascii="黑体" w:hAnsi="黑体" w:eastAsia="黑体" w:cs="Times New Roman"/>
          <w:b w:val="0"/>
          <w:sz w:val="32"/>
          <w:szCs w:val="32"/>
        </w:rPr>
      </w:pPr>
      <w:r>
        <w:rPr>
          <w:rFonts w:hint="eastAsia" w:ascii="黑体" w:hAnsi="黑体" w:eastAsia="黑体" w:cs="Times New Roman"/>
          <w:b w:val="0"/>
          <w:sz w:val="32"/>
          <w:szCs w:val="32"/>
        </w:rPr>
        <w:t xml:space="preserve">第一部分  </w:t>
      </w:r>
      <w:r>
        <w:rPr>
          <w:rFonts w:hint="eastAsia" w:ascii="黑体" w:hAnsi="黑体" w:eastAsia="黑体" w:cs="Times New Roman"/>
          <w:sz w:val="32"/>
          <w:szCs w:val="32"/>
        </w:rPr>
        <w:t>共青城市文化旅游广播电影电视综合执法大队</w:t>
      </w:r>
      <w:r>
        <w:rPr>
          <w:rFonts w:hint="eastAsia" w:ascii="黑体" w:hAnsi="黑体" w:eastAsia="黑体" w:cs="Times New Roman"/>
          <w:b w:val="0"/>
          <w:sz w:val="32"/>
          <w:szCs w:val="32"/>
        </w:rPr>
        <w:t>概况</w:t>
      </w:r>
    </w:p>
    <w:p>
      <w:pPr>
        <w:widowControl/>
        <w:spacing w:line="600" w:lineRule="exact"/>
        <w:ind w:firstLine="640"/>
        <w:jc w:val="left"/>
        <w:rPr>
          <w:rFonts w:hint="eastAsia" w:ascii="仿宋" w:hAnsi="仿宋" w:eastAsia="仿宋" w:cs="Times New Roman"/>
          <w:sz w:val="32"/>
          <w:szCs w:val="30"/>
        </w:rPr>
      </w:pPr>
      <w:r>
        <w:rPr>
          <w:rFonts w:hint="eastAsia" w:ascii="仿宋_GB2312" w:hAnsi="Calibri" w:eastAsia="仿宋_GB2312" w:cs="Times New Roman"/>
          <w:b/>
          <w:sz w:val="32"/>
          <w:szCs w:val="30"/>
        </w:rPr>
        <w:t xml:space="preserve">    </w:t>
      </w:r>
      <w:r>
        <w:rPr>
          <w:rFonts w:hint="eastAsia" w:ascii="仿宋" w:hAnsi="仿宋" w:eastAsia="仿宋" w:cs="Times New Roman"/>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cs="Times New Roman"/>
          <w:sz w:val="32"/>
          <w:szCs w:val="32"/>
        </w:rPr>
      </w:pPr>
      <w:r>
        <w:rPr>
          <w:rFonts w:hint="eastAsia" w:ascii="黑体" w:hAnsi="黑体" w:eastAsia="黑体" w:cs="Times New Roman"/>
          <w:sz w:val="32"/>
          <w:szCs w:val="32"/>
        </w:rPr>
        <w:t>第二部分  2018年度部门决算表</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一、收入支出决算总表</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cs="Times New Roman"/>
          <w:sz w:val="32"/>
          <w:szCs w:val="32"/>
        </w:rPr>
      </w:pPr>
      <w:r>
        <w:rPr>
          <w:rFonts w:hint="eastAsia" w:ascii="仿宋" w:hAnsi="仿宋" w:eastAsia="仿宋" w:cs="宋体"/>
          <w:kern w:val="0"/>
          <w:sz w:val="32"/>
          <w:szCs w:val="32"/>
        </w:rPr>
        <w:t xml:space="preserve">    </w:t>
      </w:r>
      <w:r>
        <w:rPr>
          <w:rFonts w:hint="eastAsia" w:ascii="黑体" w:hAnsi="黑体" w:eastAsia="黑体" w:cs="Times New Roman"/>
          <w:sz w:val="32"/>
          <w:szCs w:val="32"/>
        </w:rPr>
        <w:t>第三部分  2018年度部门决算情况说明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一、收入决算情况说明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二、支出决算情况说明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三、财政拨款支出决算情况说明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五、一般公共预算财政拨款“三公”经费支出决算</w:t>
      </w:r>
    </w:p>
    <w:p>
      <w:pPr>
        <w:widowControl/>
        <w:spacing w:line="600" w:lineRule="exact"/>
        <w:jc w:val="left"/>
        <w:rPr>
          <w:rFonts w:hint="eastAsia" w:ascii="仿宋" w:hAnsi="仿宋" w:eastAsia="仿宋" w:cs="Times New Roman"/>
          <w:sz w:val="32"/>
          <w:szCs w:val="30"/>
        </w:rPr>
      </w:pPr>
      <w:r>
        <w:rPr>
          <w:rFonts w:hint="eastAsia" w:ascii="仿宋" w:hAnsi="仿宋" w:eastAsia="仿宋" w:cs="Times New Roman"/>
          <w:sz w:val="32"/>
          <w:szCs w:val="30"/>
        </w:rPr>
        <w:t xml:space="preserve">    情况说明</w:t>
      </w:r>
    </w:p>
    <w:p>
      <w:pPr>
        <w:widowControl/>
        <w:spacing w:line="600" w:lineRule="exact"/>
        <w:ind w:firstLine="1280" w:firstLineChars="400"/>
        <w:jc w:val="left"/>
        <w:rPr>
          <w:rFonts w:hint="eastAsia" w:ascii="仿宋" w:hAnsi="仿宋" w:eastAsia="仿宋" w:cs="Times New Roman"/>
          <w:sz w:val="32"/>
          <w:szCs w:val="30"/>
        </w:rPr>
      </w:pPr>
      <w:r>
        <w:rPr>
          <w:rFonts w:hint="eastAsia" w:ascii="仿宋" w:hAnsi="仿宋" w:eastAsia="仿宋" w:cs="Times New Roman"/>
          <w:sz w:val="32"/>
          <w:szCs w:val="30"/>
        </w:rPr>
        <w:t>六、机关运行经费支出情况说明</w:t>
      </w:r>
    </w:p>
    <w:p>
      <w:pPr>
        <w:widowControl/>
        <w:spacing w:line="600" w:lineRule="exact"/>
        <w:ind w:firstLine="640"/>
        <w:jc w:val="left"/>
        <w:rPr>
          <w:rFonts w:hint="eastAsia" w:ascii="仿宋" w:hAnsi="仿宋" w:eastAsia="仿宋" w:cs="Times New Roman"/>
          <w:sz w:val="32"/>
          <w:szCs w:val="30"/>
        </w:rPr>
      </w:pPr>
      <w:r>
        <w:rPr>
          <w:rFonts w:hint="eastAsia" w:ascii="仿宋" w:hAnsi="仿宋" w:eastAsia="仿宋" w:cs="Times New Roman"/>
          <w:sz w:val="32"/>
          <w:szCs w:val="30"/>
        </w:rPr>
        <w:t xml:space="preserve">    七、政府采购支出情况说明</w:t>
      </w:r>
    </w:p>
    <w:p>
      <w:pPr>
        <w:widowControl/>
        <w:spacing w:line="600" w:lineRule="exact"/>
        <w:ind w:firstLine="640"/>
        <w:jc w:val="left"/>
        <w:rPr>
          <w:rFonts w:hint="eastAsia" w:ascii="仿宋" w:hAnsi="仿宋" w:eastAsia="仿宋" w:cs="Times New Roman"/>
          <w:sz w:val="32"/>
          <w:szCs w:val="30"/>
        </w:rPr>
      </w:pPr>
      <w:r>
        <w:rPr>
          <w:rFonts w:hint="eastAsia" w:ascii="仿宋" w:hAnsi="仿宋" w:eastAsia="仿宋" w:cs="Times New Roman"/>
          <w:sz w:val="32"/>
          <w:szCs w:val="30"/>
        </w:rPr>
        <w:t xml:space="preserve">    八、国有资产占用情况说明</w:t>
      </w:r>
    </w:p>
    <w:p>
      <w:pPr>
        <w:widowControl/>
        <w:spacing w:line="600" w:lineRule="exact"/>
        <w:ind w:firstLine="640"/>
        <w:jc w:val="left"/>
        <w:rPr>
          <w:rFonts w:hint="eastAsia" w:ascii="仿宋" w:hAnsi="仿宋" w:eastAsia="仿宋" w:cs="Times New Roman"/>
          <w:sz w:val="32"/>
          <w:szCs w:val="30"/>
        </w:rPr>
      </w:pPr>
      <w:r>
        <w:rPr>
          <w:rFonts w:hint="eastAsia" w:ascii="仿宋" w:hAnsi="仿宋" w:eastAsia="仿宋" w:cs="Times New Roman"/>
          <w:sz w:val="32"/>
          <w:szCs w:val="30"/>
        </w:rPr>
        <w:t xml:space="preserve">    九、预算绩效情况说明</w:t>
      </w:r>
    </w:p>
    <w:p>
      <w:pPr>
        <w:widowControl/>
        <w:spacing w:line="600" w:lineRule="exact"/>
        <w:ind w:firstLine="640"/>
        <w:jc w:val="left"/>
        <w:rPr>
          <w:rFonts w:ascii="仿宋" w:hAnsi="仿宋" w:eastAsia="仿宋" w:cs="Times New Roman"/>
          <w:sz w:val="32"/>
          <w:szCs w:val="30"/>
        </w:rPr>
      </w:pPr>
      <w:r>
        <w:rPr>
          <w:rFonts w:hint="eastAsia" w:ascii="黑体" w:hAnsi="黑体" w:eastAsia="黑体" w:cs="Times New Roman"/>
          <w:sz w:val="32"/>
          <w:szCs w:val="32"/>
        </w:rPr>
        <w:t>第四部分  名词解释</w:t>
      </w: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ind w:firstLine="630"/>
        <w:jc w:val="center"/>
        <w:rPr>
          <w:rFonts w:hint="eastAsia" w:ascii="宋体" w:hAnsi="宋体" w:eastAsia="宋体" w:cs="Times New Roman"/>
          <w:b/>
          <w:sz w:val="36"/>
          <w:szCs w:val="36"/>
        </w:rPr>
      </w:pPr>
    </w:p>
    <w:p>
      <w:pPr>
        <w:widowControl/>
        <w:spacing w:line="580" w:lineRule="exact"/>
        <w:jc w:val="both"/>
        <w:rPr>
          <w:rFonts w:hint="eastAsia" w:ascii="宋体" w:hAnsi="宋体" w:eastAsia="宋体" w:cs="Times New Roman"/>
          <w:b/>
          <w:sz w:val="30"/>
          <w:szCs w:val="30"/>
        </w:rPr>
      </w:pPr>
      <w:r>
        <w:rPr>
          <w:rFonts w:hint="eastAsia" w:ascii="宋体" w:hAnsi="宋体" w:eastAsia="宋体" w:cs="Times New Roman"/>
          <w:b/>
          <w:sz w:val="32"/>
          <w:szCs w:val="30"/>
        </w:rPr>
        <w:t xml:space="preserve">第一部分  </w:t>
      </w:r>
      <w:r>
        <w:rPr>
          <w:rFonts w:hint="eastAsia" w:ascii="宋体" w:hAnsi="宋体" w:eastAsia="宋体" w:cs="Times New Roman"/>
          <w:b/>
          <w:sz w:val="30"/>
          <w:szCs w:val="30"/>
        </w:rPr>
        <w:t>共青城市文化旅游广播电影电视综合执法大队概况</w:t>
      </w:r>
    </w:p>
    <w:p>
      <w:pPr>
        <w:ind w:firstLine="630"/>
        <w:jc w:val="center"/>
        <w:rPr>
          <w:rFonts w:hint="eastAsia" w:ascii="Calibri" w:hAnsi="Calibri" w:eastAsia="宋体" w:cs="Times New Roman"/>
          <w:sz w:val="32"/>
          <w:szCs w:val="32"/>
        </w:rPr>
      </w:pPr>
    </w:p>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一、部门主要职能</w:t>
      </w:r>
    </w:p>
    <w:p>
      <w:pPr>
        <w:ind w:firstLine="630"/>
        <w:jc w:val="left"/>
        <w:rPr>
          <w:rFonts w:hint="eastAsia" w:ascii="黑体" w:hAnsi="黑体" w:eastAsia="黑体" w:cs="Times New Roman"/>
          <w:sz w:val="30"/>
          <w:szCs w:val="30"/>
        </w:rPr>
      </w:pPr>
      <w:bookmarkStart w:id="0" w:name="_GoBack"/>
      <w:r>
        <w:rPr>
          <w:rFonts w:hint="eastAsia" w:ascii="仿宋" w:hAnsi="仿宋" w:eastAsia="仿宋" w:cs="Times New Roman"/>
          <w:color w:val="444444"/>
          <w:sz w:val="30"/>
          <w:szCs w:val="30"/>
          <w:shd w:val="clear" w:color="auto" w:fill="auto"/>
        </w:rPr>
        <w:t>共青城市文旅广电综合执法大队是市委宣传部归口管理的单位，主要职责是监督和管理全市文化旅游广播电影电视市场。</w:t>
      </w:r>
    </w:p>
    <w:bookmarkEnd w:id="0"/>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纳入本套部门决算汇编范围的单位共 1 个。</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本部门2018年年末编制人数 4 人，其中行政编制 0 人，事业编制 4 人；年末实有人数 6人，其中在职人员 6 人，离休人员 0 人，退休人员 0 人；年末学生人数 0 人。</w:t>
      </w:r>
    </w:p>
    <w:p>
      <w:pPr>
        <w:ind w:firstLine="630"/>
        <w:jc w:val="left"/>
        <w:rPr>
          <w:rFonts w:hint="eastAsia" w:ascii="仿宋" w:hAnsi="仿宋" w:eastAsia="仿宋" w:cs="Times New Roman"/>
          <w:sz w:val="30"/>
          <w:szCs w:val="30"/>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r>
        <w:rPr>
          <w:rFonts w:hint="eastAsia" w:ascii="宋体" w:hAnsi="宋体" w:eastAsia="宋体" w:cs="Times New Roman"/>
          <w:b/>
          <w:sz w:val="32"/>
          <w:szCs w:val="32"/>
        </w:rPr>
        <w:t>第二部分  2018年度部门决算表</w:t>
      </w: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68595" cy="4574540"/>
            <wp:effectExtent l="0" t="0" r="8255" b="16510"/>
            <wp:docPr id="1" name="图片 1" descr="1571706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1706731(1)"/>
                    <pic:cNvPicPr>
                      <a:picLocks noChangeAspect="1"/>
                    </pic:cNvPicPr>
                  </pic:nvPicPr>
                  <pic:blipFill>
                    <a:blip r:embed="rId4"/>
                    <a:stretch>
                      <a:fillRect/>
                    </a:stretch>
                  </pic:blipFill>
                  <pic:spPr>
                    <a:xfrm>
                      <a:off x="0" y="0"/>
                      <a:ext cx="5268595" cy="4574540"/>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66055" cy="2443480"/>
            <wp:effectExtent l="0" t="0" r="10795" b="13970"/>
            <wp:docPr id="5" name="图片 2" descr="1571706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71706776(1)"/>
                    <pic:cNvPicPr>
                      <a:picLocks noChangeAspect="1"/>
                    </pic:cNvPicPr>
                  </pic:nvPicPr>
                  <pic:blipFill>
                    <a:blip r:embed="rId5"/>
                    <a:stretch>
                      <a:fillRect/>
                    </a:stretch>
                  </pic:blipFill>
                  <pic:spPr>
                    <a:xfrm>
                      <a:off x="0" y="0"/>
                      <a:ext cx="5266055" cy="2443480"/>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65420" cy="2465070"/>
            <wp:effectExtent l="0" t="0" r="11430" b="11430"/>
            <wp:docPr id="4" name="图片 3" descr="1571706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71706836(1)"/>
                    <pic:cNvPicPr>
                      <a:picLocks noChangeAspect="1"/>
                    </pic:cNvPicPr>
                  </pic:nvPicPr>
                  <pic:blipFill>
                    <a:blip r:embed="rId6"/>
                    <a:stretch>
                      <a:fillRect/>
                    </a:stretch>
                  </pic:blipFill>
                  <pic:spPr>
                    <a:xfrm>
                      <a:off x="0" y="0"/>
                      <a:ext cx="5265420" cy="2465070"/>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73675" cy="4189095"/>
            <wp:effectExtent l="0" t="0" r="3175" b="1905"/>
            <wp:docPr id="3" name="图片 4" descr="1571706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71706873(1)"/>
                    <pic:cNvPicPr>
                      <a:picLocks noChangeAspect="1"/>
                    </pic:cNvPicPr>
                  </pic:nvPicPr>
                  <pic:blipFill>
                    <a:blip r:embed="rId7"/>
                    <a:stretch>
                      <a:fillRect/>
                    </a:stretch>
                  </pic:blipFill>
                  <pic:spPr>
                    <a:xfrm>
                      <a:off x="0" y="0"/>
                      <a:ext cx="5273675" cy="4189095"/>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69865" cy="3914775"/>
            <wp:effectExtent l="0" t="0" r="6985" b="9525"/>
            <wp:docPr id="6" name="图片 5" descr="1571706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571706917(1)"/>
                    <pic:cNvPicPr>
                      <a:picLocks noChangeAspect="1"/>
                    </pic:cNvPicPr>
                  </pic:nvPicPr>
                  <pic:blipFill>
                    <a:blip r:embed="rId8"/>
                    <a:stretch>
                      <a:fillRect/>
                    </a:stretch>
                  </pic:blipFill>
                  <pic:spPr>
                    <a:xfrm>
                      <a:off x="0" y="0"/>
                      <a:ext cx="5269865" cy="3914775"/>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276215" cy="8639810"/>
            <wp:effectExtent l="0" t="0" r="635" b="8890"/>
            <wp:docPr id="2" name="图片 6" descr="1571707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1571707068(1)"/>
                    <pic:cNvPicPr>
                      <a:picLocks noChangeAspect="1"/>
                    </pic:cNvPicPr>
                  </pic:nvPicPr>
                  <pic:blipFill>
                    <a:blip r:embed="rId9"/>
                    <a:stretch>
                      <a:fillRect/>
                    </a:stretch>
                  </pic:blipFill>
                  <pic:spPr>
                    <a:xfrm>
                      <a:off x="0" y="0"/>
                      <a:ext cx="5276215" cy="8639810"/>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r>
        <w:rPr>
          <w:rFonts w:hint="eastAsia" w:ascii="Calibri" w:hAnsi="Calibri" w:eastAsia="宋体" w:cs="Times New Roman"/>
          <w:szCs w:val="30"/>
        </w:rPr>
        <w:drawing>
          <wp:inline distT="0" distB="0" distL="114300" distR="114300">
            <wp:extent cx="5133975" cy="5229225"/>
            <wp:effectExtent l="0" t="0" r="9525" b="9525"/>
            <wp:docPr id="7" name="图片 7" descr="1571707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71707112(1)"/>
                    <pic:cNvPicPr>
                      <a:picLocks noChangeAspect="1"/>
                    </pic:cNvPicPr>
                  </pic:nvPicPr>
                  <pic:blipFill>
                    <a:blip r:embed="rId10"/>
                    <a:stretch>
                      <a:fillRect/>
                    </a:stretch>
                  </pic:blipFill>
                  <pic:spPr>
                    <a:xfrm>
                      <a:off x="0" y="0"/>
                      <a:ext cx="5133975" cy="5229225"/>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ascii="Calibri" w:hAnsi="Calibri" w:eastAsia="宋体" w:cs="Times New Roman"/>
        </w:rPr>
      </w:pPr>
      <w:r>
        <w:rPr>
          <w:rFonts w:ascii="Calibri" w:hAnsi="Calibri" w:eastAsia="宋体" w:cs="Times New Roman"/>
        </w:rPr>
        <w:drawing>
          <wp:inline distT="0" distB="0" distL="114300" distR="114300">
            <wp:extent cx="5273040" cy="1584325"/>
            <wp:effectExtent l="0" t="0" r="381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3040" cy="1584325"/>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rPr>
      </w:pPr>
    </w:p>
    <w:p>
      <w:pPr>
        <w:autoSpaceDE w:val="0"/>
        <w:autoSpaceDN w:val="0"/>
        <w:adjustRightInd w:val="0"/>
        <w:spacing w:line="360" w:lineRule="auto"/>
        <w:jc w:val="left"/>
        <w:rPr>
          <w:rFonts w:hint="eastAsia" w:ascii="Calibri" w:hAnsi="Calibri" w:eastAsia="宋体" w:cs="Times New Roman"/>
        </w:rPr>
      </w:pPr>
    </w:p>
    <w:p>
      <w:pPr>
        <w:autoSpaceDE w:val="0"/>
        <w:autoSpaceDN w:val="0"/>
        <w:adjustRightInd w:val="0"/>
        <w:spacing w:line="360" w:lineRule="auto"/>
        <w:jc w:val="left"/>
        <w:rPr>
          <w:rFonts w:hint="eastAsia" w:ascii="Calibri" w:hAnsi="Calibri" w:eastAsia="宋体" w:cs="Times New Roman"/>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Calibri" w:hAnsi="Calibri" w:eastAsia="宋体" w:cs="Times New Roman"/>
          <w:szCs w:val="30"/>
        </w:rPr>
        <w:drawing>
          <wp:inline distT="0" distB="0" distL="114300" distR="114300">
            <wp:extent cx="5238750" cy="3143250"/>
            <wp:effectExtent l="0" t="0" r="0" b="0"/>
            <wp:docPr id="9" name="图片 9" descr="1571707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71707196(1)"/>
                    <pic:cNvPicPr>
                      <a:picLocks noChangeAspect="1"/>
                    </pic:cNvPicPr>
                  </pic:nvPicPr>
                  <pic:blipFill>
                    <a:blip r:embed="rId12"/>
                    <a:stretch>
                      <a:fillRect/>
                    </a:stretch>
                  </pic:blipFill>
                  <pic:spPr>
                    <a:xfrm>
                      <a:off x="0" y="0"/>
                      <a:ext cx="5238750" cy="3143250"/>
                    </a:xfrm>
                    <a:prstGeom prst="rect">
                      <a:avLst/>
                    </a:prstGeom>
                    <a:noFill/>
                    <a:ln>
                      <a:noFill/>
                    </a:ln>
                  </pic:spPr>
                </pic:pic>
              </a:graphicData>
            </a:graphic>
          </wp:inline>
        </w:drawing>
      </w: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Calibri" w:hAnsi="Calibri" w:eastAsia="宋体" w:cs="Times New Roman"/>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eastAsia="宋体" w:cs="Times New Roman"/>
          <w:b/>
          <w:sz w:val="32"/>
          <w:szCs w:val="32"/>
        </w:rPr>
      </w:pPr>
    </w:p>
    <w:p>
      <w:pPr>
        <w:widowControl/>
        <w:spacing w:line="600" w:lineRule="exact"/>
        <w:ind w:firstLine="640"/>
        <w:jc w:val="center"/>
        <w:rPr>
          <w:rFonts w:hint="eastAsia" w:ascii="宋体" w:hAnsi="宋体" w:eastAsia="宋体" w:cs="Times New Roman"/>
          <w:b/>
          <w:sz w:val="32"/>
          <w:szCs w:val="32"/>
        </w:rPr>
      </w:pPr>
      <w:r>
        <w:rPr>
          <w:rFonts w:hint="eastAsia" w:ascii="宋体" w:hAnsi="宋体" w:eastAsia="宋体" w:cs="Times New Roman"/>
          <w:b/>
          <w:sz w:val="32"/>
          <w:szCs w:val="32"/>
        </w:rPr>
        <w:t>第三部分  2018年度部门决算情况说明</w:t>
      </w:r>
    </w:p>
    <w:p>
      <w:pPr>
        <w:ind w:firstLine="630"/>
        <w:jc w:val="left"/>
        <w:rPr>
          <w:rFonts w:hint="eastAsia" w:ascii="仿宋" w:hAnsi="仿宋" w:eastAsia="仿宋" w:cs="Times New Roman"/>
          <w:sz w:val="30"/>
          <w:szCs w:val="30"/>
        </w:rPr>
      </w:pPr>
    </w:p>
    <w:p>
      <w:pPr>
        <w:ind w:firstLine="630"/>
        <w:jc w:val="left"/>
        <w:outlineLvl w:val="0"/>
        <w:rPr>
          <w:rFonts w:hint="eastAsia" w:ascii="黑体" w:hAnsi="黑体" w:eastAsia="黑体" w:cs="Times New Roman"/>
          <w:sz w:val="30"/>
          <w:szCs w:val="30"/>
        </w:rPr>
      </w:pPr>
      <w:r>
        <w:rPr>
          <w:rFonts w:hint="eastAsia" w:ascii="黑体" w:hAnsi="黑体" w:eastAsia="黑体" w:cs="Times New Roman"/>
          <w:sz w:val="30"/>
          <w:szCs w:val="30"/>
        </w:rPr>
        <w:t>一、收入决算情况说明</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本部门2018年度收入总计91.39万元，其中年初结转和结余0万元，较2017年减少3.15万元，减少100%；本年收入合计91.39万元，较2017年增加24.72万元，增长37.08%，主要原因是：</w:t>
      </w:r>
      <w:r>
        <w:rPr>
          <w:rFonts w:hint="eastAsia" w:ascii="仿宋" w:hAnsi="仿宋" w:eastAsia="仿宋" w:cs="Times New Roman"/>
          <w:sz w:val="30"/>
          <w:szCs w:val="30"/>
          <w:highlight w:val="none"/>
        </w:rPr>
        <w:t>人员增加</w:t>
      </w:r>
      <w:r>
        <w:rPr>
          <w:rFonts w:hint="eastAsia" w:ascii="仿宋" w:hAnsi="仿宋" w:eastAsia="仿宋" w:cs="Times New Roman"/>
          <w:sz w:val="30"/>
          <w:szCs w:val="30"/>
        </w:rPr>
        <w:t>。</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 xml:space="preserve">本年收入的具体构成为：财政拨款收入84.36万元，占92.31%；事业收入0万元，占0%；经营收入0万元，占0%；其他收入7.03万元，占7.69%。  </w:t>
      </w:r>
    </w:p>
    <w:p>
      <w:pPr>
        <w:ind w:firstLine="630"/>
        <w:jc w:val="left"/>
        <w:outlineLvl w:val="0"/>
        <w:rPr>
          <w:rFonts w:hint="eastAsia" w:ascii="黑体" w:hAnsi="黑体" w:eastAsia="黑体" w:cs="Times New Roman"/>
          <w:sz w:val="30"/>
          <w:szCs w:val="30"/>
        </w:rPr>
      </w:pPr>
      <w:r>
        <w:rPr>
          <w:rFonts w:hint="eastAsia" w:ascii="黑体" w:hAnsi="黑体" w:eastAsia="黑体" w:cs="Times New Roman"/>
          <w:sz w:val="30"/>
          <w:szCs w:val="30"/>
        </w:rPr>
        <w:t>二、支出决算情况说明</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本部门2018年度支出总计91.39万元，其中本年支出合计   90.46万元，较2017年增加21.58万元，增长30.91%，主要原因是：人员增加；年末结转和结余0.93万元，较2017年增加0.93万元，增长100%，主要原因是：执法力度工作加大。</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本年支出的具体构成为：基本支出90.46万元，占100%；无项目支出。</w:t>
      </w:r>
    </w:p>
    <w:p>
      <w:pPr>
        <w:ind w:firstLine="630"/>
        <w:jc w:val="left"/>
        <w:outlineLvl w:val="0"/>
        <w:rPr>
          <w:rFonts w:hint="eastAsia" w:ascii="黑体" w:hAnsi="黑体" w:eastAsia="黑体" w:cs="Times New Roman"/>
          <w:sz w:val="30"/>
          <w:szCs w:val="30"/>
        </w:rPr>
      </w:pPr>
      <w:r>
        <w:rPr>
          <w:rFonts w:hint="eastAsia" w:ascii="黑体" w:hAnsi="黑体" w:eastAsia="黑体" w:cs="Times New Roman"/>
          <w:sz w:val="30"/>
          <w:szCs w:val="30"/>
        </w:rPr>
        <w:t>三、财政拨款支出决算情况说明</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本部门2018年度财政拨款本年支出年初预算数为76.07万元，决算数为83.43万元，完成年初预算的109.68%。其中：</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（一）文化体育与传媒支出年初预算数为66.76万元，决算数为60.58万元，完成年初预算的90.74%，主要原因是：</w:t>
      </w:r>
      <w:r>
        <w:rPr>
          <w:rFonts w:hint="eastAsia" w:ascii="仿宋" w:hAnsi="仿宋" w:eastAsia="仿宋" w:cs="Times New Roman"/>
          <w:color w:val="333333"/>
          <w:sz w:val="30"/>
          <w:szCs w:val="30"/>
        </w:rPr>
        <w:t>人员变动</w:t>
      </w:r>
      <w:r>
        <w:rPr>
          <w:rFonts w:hint="eastAsia" w:ascii="仿宋" w:hAnsi="仿宋" w:eastAsia="仿宋" w:cs="Times New Roman"/>
          <w:sz w:val="30"/>
          <w:szCs w:val="30"/>
        </w:rPr>
        <w:t>，</w:t>
      </w:r>
      <w:r>
        <w:rPr>
          <w:rFonts w:hint="eastAsia" w:ascii="仿宋" w:hAnsi="仿宋" w:eastAsia="仿宋" w:cs="Times New Roman"/>
          <w:color w:val="333333"/>
          <w:sz w:val="30"/>
          <w:szCs w:val="30"/>
        </w:rPr>
        <w:t>其他收入部分不计入一般公共预算财政拨款。</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（二）社会保障和就业支出年初预算数为5.03万元，决算数为4.07万元，完成年初预算的80.91%，主要原因是：</w:t>
      </w:r>
      <w:r>
        <w:rPr>
          <w:rFonts w:hint="eastAsia" w:ascii="仿宋" w:hAnsi="仿宋" w:eastAsia="仿宋" w:cs="Times New Roman"/>
          <w:color w:val="333333"/>
          <w:sz w:val="30"/>
          <w:szCs w:val="30"/>
        </w:rPr>
        <w:t>人员变</w:t>
      </w:r>
      <w:r>
        <w:rPr>
          <w:rFonts w:hint="eastAsia" w:ascii="仿宋" w:hAnsi="仿宋" w:eastAsia="仿宋" w:cs="Times New Roman"/>
          <w:sz w:val="30"/>
          <w:szCs w:val="30"/>
        </w:rPr>
        <w:t>动，</w:t>
      </w:r>
      <w:r>
        <w:rPr>
          <w:rFonts w:hint="eastAsia" w:ascii="仿宋" w:hAnsi="仿宋" w:eastAsia="仿宋" w:cs="Times New Roman"/>
          <w:color w:val="333333"/>
          <w:sz w:val="30"/>
          <w:szCs w:val="30"/>
        </w:rPr>
        <w:t>其他收入部分不计入一般公共预算财政拨款。</w:t>
      </w:r>
    </w:p>
    <w:p>
      <w:pPr>
        <w:ind w:firstLine="630"/>
        <w:jc w:val="left"/>
        <w:rPr>
          <w:rFonts w:hint="eastAsia" w:ascii="仿宋" w:hAnsi="仿宋" w:eastAsia="仿宋" w:cs="Times New Roman"/>
          <w:sz w:val="30"/>
          <w:szCs w:val="30"/>
          <w:highlight w:val="none"/>
        </w:rPr>
      </w:pPr>
      <w:r>
        <w:rPr>
          <w:rFonts w:hint="eastAsia" w:ascii="仿宋" w:hAnsi="仿宋" w:eastAsia="仿宋" w:cs="Times New Roman"/>
          <w:sz w:val="30"/>
          <w:szCs w:val="30"/>
        </w:rPr>
        <w:t>（三）医疗卫生与计划生育支出年初预算数为2.26万元，决算数为2.24万元，完成年初预算的99.12%，主要原因是：</w:t>
      </w:r>
      <w:r>
        <w:rPr>
          <w:rFonts w:hint="eastAsia" w:ascii="仿宋" w:hAnsi="仿宋" w:eastAsia="仿宋" w:cs="Times New Roman"/>
          <w:sz w:val="30"/>
          <w:szCs w:val="30"/>
          <w:highlight w:val="none"/>
        </w:rPr>
        <w:t>基本持平。</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（四）住房保障支出年初预算数为5.02万元，决算数为2.93万元，完成年初预算的58.37%，主要原因是：</w:t>
      </w:r>
      <w:r>
        <w:rPr>
          <w:rFonts w:hint="eastAsia" w:ascii="仿宋" w:hAnsi="仿宋" w:eastAsia="仿宋" w:cs="Times New Roman"/>
          <w:color w:val="333333"/>
          <w:sz w:val="30"/>
          <w:szCs w:val="30"/>
        </w:rPr>
        <w:t>其他收入部分不计入一般公共预算财政拨款。</w:t>
      </w:r>
    </w:p>
    <w:p>
      <w:pPr>
        <w:ind w:firstLine="585"/>
        <w:jc w:val="left"/>
        <w:rPr>
          <w:rFonts w:hint="eastAsia" w:ascii="黑体" w:hAnsi="黑体" w:eastAsia="黑体" w:cs="Times New Roman"/>
          <w:sz w:val="30"/>
          <w:szCs w:val="30"/>
        </w:rPr>
      </w:pPr>
      <w:r>
        <w:rPr>
          <w:rFonts w:hint="eastAsia" w:ascii="黑体" w:hAnsi="黑体" w:eastAsia="黑体" w:cs="Times New Roman"/>
          <w:sz w:val="30"/>
          <w:szCs w:val="30"/>
        </w:rPr>
        <w:t>四、一般公共预算财政拨款基本支出决算情况说明</w:t>
      </w:r>
    </w:p>
    <w:p>
      <w:pPr>
        <w:ind w:firstLine="585"/>
        <w:jc w:val="left"/>
        <w:rPr>
          <w:rFonts w:hint="eastAsia" w:ascii="仿宋" w:hAnsi="仿宋" w:eastAsia="仿宋" w:cs="Times New Roman"/>
          <w:sz w:val="30"/>
          <w:szCs w:val="30"/>
        </w:rPr>
      </w:pPr>
      <w:r>
        <w:rPr>
          <w:rFonts w:hint="eastAsia" w:ascii="仿宋" w:hAnsi="仿宋" w:eastAsia="仿宋" w:cs="Times New Roman"/>
          <w:sz w:val="30"/>
          <w:szCs w:val="30"/>
        </w:rPr>
        <w:t>本部门2018年度一般公共预算财政拨款基本支出83.43万元，其中：</w:t>
      </w:r>
    </w:p>
    <w:p>
      <w:pPr>
        <w:ind w:firstLine="585"/>
        <w:jc w:val="left"/>
        <w:rPr>
          <w:rFonts w:hint="eastAsia" w:ascii="仿宋" w:hAnsi="仿宋" w:eastAsia="仿宋" w:cs="Times New Roman"/>
          <w:sz w:val="30"/>
          <w:szCs w:val="30"/>
        </w:rPr>
      </w:pPr>
      <w:r>
        <w:rPr>
          <w:rFonts w:hint="eastAsia" w:ascii="仿宋" w:hAnsi="仿宋" w:eastAsia="仿宋" w:cs="Times New Roman"/>
          <w:sz w:val="30"/>
          <w:szCs w:val="30"/>
        </w:rPr>
        <w:t>（一）工资福利支出60.35万元，较2017年增加22.86万元，增长60.98%，主要原因是：发放奖金列入奖励金。</w:t>
      </w:r>
    </w:p>
    <w:p>
      <w:pPr>
        <w:ind w:firstLine="585"/>
        <w:jc w:val="left"/>
        <w:rPr>
          <w:rFonts w:hint="eastAsia" w:ascii="仿宋" w:hAnsi="仿宋" w:eastAsia="仿宋" w:cs="Times New Roman"/>
          <w:sz w:val="30"/>
          <w:szCs w:val="30"/>
        </w:rPr>
      </w:pPr>
      <w:r>
        <w:rPr>
          <w:rFonts w:hint="eastAsia" w:ascii="仿宋" w:hAnsi="仿宋" w:eastAsia="仿宋" w:cs="Times New Roman"/>
          <w:sz w:val="30"/>
          <w:szCs w:val="30"/>
        </w:rPr>
        <w:t>（二）商品和服务支出14.53万元，较2017年增加3.50万元，增长31.73%，主要原因是：人员增加,扫黄打非工作站增加。</w:t>
      </w:r>
    </w:p>
    <w:p>
      <w:pPr>
        <w:ind w:firstLine="585"/>
        <w:jc w:val="left"/>
        <w:rPr>
          <w:rFonts w:hint="eastAsia" w:ascii="仿宋" w:hAnsi="仿宋" w:eastAsia="仿宋" w:cs="Times New Roman"/>
          <w:sz w:val="30"/>
          <w:szCs w:val="30"/>
        </w:rPr>
      </w:pPr>
      <w:r>
        <w:rPr>
          <w:rFonts w:hint="eastAsia" w:ascii="仿宋" w:hAnsi="仿宋" w:eastAsia="仿宋" w:cs="Times New Roman"/>
          <w:sz w:val="30"/>
          <w:szCs w:val="30"/>
        </w:rPr>
        <w:t>（三）对个人和家庭补助支出1.06万元，较2017年减少14.07万元，下降92.99%，主要原因是：</w:t>
      </w:r>
      <w:r>
        <w:rPr>
          <w:rFonts w:hint="eastAsia" w:ascii="仿宋" w:hAnsi="仿宋" w:eastAsia="仿宋" w:cs="Times New Roman"/>
          <w:color w:val="333333"/>
          <w:sz w:val="30"/>
          <w:szCs w:val="30"/>
        </w:rPr>
        <w:t>其他收入部分不计入一般公共预算财政拨款。</w:t>
      </w:r>
    </w:p>
    <w:p>
      <w:pPr>
        <w:ind w:firstLine="585"/>
        <w:jc w:val="left"/>
        <w:rPr>
          <w:rFonts w:hint="eastAsia" w:ascii="仿宋" w:hAnsi="仿宋" w:eastAsia="仿宋" w:cs="Times New Roman"/>
          <w:sz w:val="30"/>
          <w:szCs w:val="30"/>
        </w:rPr>
      </w:pPr>
      <w:r>
        <w:rPr>
          <w:rFonts w:hint="eastAsia" w:ascii="仿宋" w:hAnsi="仿宋" w:eastAsia="仿宋" w:cs="Times New Roman"/>
          <w:sz w:val="30"/>
          <w:szCs w:val="30"/>
        </w:rPr>
        <w:t>（四）资本性支出7.49万元，较2017年增加7.49万元，增长100%，</w:t>
      </w:r>
      <w:r>
        <w:rPr>
          <w:rFonts w:ascii="仿宋" w:hAnsi="仿宋" w:eastAsia="仿宋" w:cs="Times New Roman"/>
          <w:sz w:val="30"/>
          <w:szCs w:val="30"/>
        </w:rPr>
        <w:t>主要原因是：</w:t>
      </w:r>
      <w:r>
        <w:rPr>
          <w:rFonts w:hint="eastAsia" w:ascii="仿宋" w:hAnsi="仿宋" w:eastAsia="仿宋" w:cs="Times New Roman"/>
          <w:sz w:val="30"/>
          <w:szCs w:val="30"/>
        </w:rPr>
        <w:t>增加执法设备。</w:t>
      </w:r>
    </w:p>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五、一般公共预算财政拨款“三公”经费支出决算情况说明</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本部门2018年度一般公共预算财政拨款“三公”经费支出年初预算数为2.90万元，决算数为2.63万元，完成预算的90.69%，决算数较2017年增加1万元，增长61.35%，其中：</w:t>
      </w:r>
    </w:p>
    <w:p>
      <w:pPr>
        <w:numPr>
          <w:ilvl w:val="0"/>
          <w:numId w:val="1"/>
        </w:numPr>
        <w:ind w:firstLine="630"/>
        <w:jc w:val="left"/>
        <w:rPr>
          <w:rFonts w:hint="eastAsia" w:ascii="仿宋" w:hAnsi="仿宋" w:eastAsia="仿宋" w:cs="Times New Roman"/>
          <w:sz w:val="30"/>
          <w:szCs w:val="30"/>
        </w:rPr>
      </w:pPr>
      <w:r>
        <w:rPr>
          <w:rFonts w:hint="eastAsia" w:ascii="仿宋" w:hAnsi="仿宋" w:eastAsia="仿宋" w:cs="Times New Roman"/>
          <w:sz w:val="30"/>
          <w:szCs w:val="30"/>
        </w:rPr>
        <w:t>因公出国（境）支出年初预算数为0万元，决算数为  0万元，完成预算的0%，决算数较2017年无变化。</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（二）公务接待费支出年初预算数为2.90万元，决算数为  2.63万元，完成预算的90.69%，决算数较2017年增加1万元，增长61.35%。决算数较年初预算数增加的主要原因是：举办大型会议,增加接待支出。</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三）公务用车购置及运行维护费支出0万元，其中公务用车购置年初预算数为0万元，决算数为0万元，完成预算的0%，决算数较2017年无变化；公务用车运行维护费支出年初预算数为0万元，决算数为0万元，完成预算的0%，决算数较2017年减少0.66万元，下降100%。决算数较年初预算数减少的主要原因是：公车改革。</w:t>
      </w:r>
    </w:p>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六、机关运行经费支出情况说明</w:t>
      </w:r>
    </w:p>
    <w:p>
      <w:pPr>
        <w:ind w:firstLine="630"/>
        <w:jc w:val="left"/>
        <w:rPr>
          <w:rFonts w:hint="eastAsia" w:ascii="仿宋" w:hAnsi="仿宋" w:eastAsia="仿宋" w:cs="Times New Roman"/>
          <w:sz w:val="30"/>
          <w:szCs w:val="30"/>
        </w:rPr>
      </w:pPr>
      <w:r>
        <w:rPr>
          <w:rFonts w:hint="eastAsia" w:ascii="仿宋" w:hAnsi="仿宋" w:eastAsia="仿宋" w:cs="Times New Roman"/>
          <w:sz w:val="30"/>
          <w:szCs w:val="30"/>
        </w:rPr>
        <w:t xml:space="preserve">本部门2018年度机关运行经费支出22.02万元，较年初预算数增加6.88万元，增长45.44%，主要原因是：执法力度加大，经费增加。 </w:t>
      </w:r>
    </w:p>
    <w:p>
      <w:pPr>
        <w:ind w:firstLine="630"/>
        <w:jc w:val="left"/>
        <w:rPr>
          <w:rFonts w:ascii="黑体" w:hAnsi="黑体" w:eastAsia="黑体" w:cs="Times New Roman"/>
          <w:sz w:val="30"/>
          <w:szCs w:val="30"/>
        </w:rPr>
      </w:pPr>
      <w:r>
        <w:rPr>
          <w:rFonts w:hint="eastAsia" w:ascii="黑体" w:hAnsi="黑体" w:eastAsia="黑体" w:cs="Times New Roman"/>
          <w:sz w:val="30"/>
          <w:szCs w:val="30"/>
        </w:rPr>
        <w:t>七、政府采购支出情况说明</w:t>
      </w:r>
    </w:p>
    <w:p>
      <w:pPr>
        <w:pStyle w:val="4"/>
        <w:spacing w:line="600" w:lineRule="atLeast"/>
        <w:ind w:firstLine="600"/>
        <w:rPr>
          <w:rFonts w:hint="eastAsia" w:ascii="仿宋" w:hAnsi="仿宋" w:eastAsia="仿宋" w:cs="Times New Roman"/>
          <w:sz w:val="30"/>
          <w:szCs w:val="30"/>
        </w:rPr>
      </w:pPr>
      <w:r>
        <w:rPr>
          <w:rFonts w:hint="eastAsia" w:ascii="仿宋" w:hAnsi="仿宋" w:eastAsia="仿宋" w:cs="Times New Roman"/>
          <w:sz w:val="30"/>
          <w:szCs w:val="30"/>
        </w:rPr>
        <w:t>本部门2018年度政府采购支出总额22.02万元，其中：政府采购货物支出7.49万元、政府采购工程支出0万元、政府采购服务支出0万元。授予中小企业合同金额4.58万元，占政府采购支出总额的61%，其中：授予小微企业合同金额2.91万元，占政府采购支出总额的</w:t>
      </w:r>
      <w:r>
        <w:rPr>
          <w:rFonts w:hint="eastAsia" w:ascii="仿宋" w:hAnsi="仿宋" w:eastAsia="仿宋" w:cs="Times New Roman"/>
          <w:sz w:val="30"/>
          <w:szCs w:val="30"/>
          <w:highlight w:val="none"/>
          <w:lang w:val="en-US" w:eastAsia="zh-CN"/>
        </w:rPr>
        <w:t>39</w:t>
      </w:r>
      <w:r>
        <w:rPr>
          <w:rFonts w:hint="eastAsia" w:ascii="仿宋" w:hAnsi="仿宋" w:eastAsia="仿宋" w:cs="Times New Roman"/>
          <w:sz w:val="30"/>
          <w:szCs w:val="30"/>
          <w:highlight w:val="none"/>
        </w:rPr>
        <w:t>%</w:t>
      </w:r>
      <w:r>
        <w:rPr>
          <w:rFonts w:hint="eastAsia" w:ascii="仿宋" w:hAnsi="仿宋" w:eastAsia="仿宋" w:cs="Times New Roman"/>
          <w:sz w:val="30"/>
          <w:szCs w:val="30"/>
        </w:rPr>
        <w:t>。</w:t>
      </w:r>
    </w:p>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八、国有资产占用情况说明。</w:t>
      </w:r>
    </w:p>
    <w:p>
      <w:pPr>
        <w:ind w:firstLine="63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截止2018年12月31日，本部门共有车辆0辆；单位价值50万元以上通用设备0台；单位价值100万元以上专用设备0台。</w:t>
      </w:r>
    </w:p>
    <w:p>
      <w:pPr>
        <w:ind w:firstLine="630"/>
        <w:jc w:val="left"/>
        <w:rPr>
          <w:rFonts w:hint="eastAsia" w:ascii="黑体" w:hAnsi="黑体" w:eastAsia="黑体" w:cs="Times New Roman"/>
          <w:sz w:val="30"/>
          <w:szCs w:val="30"/>
        </w:rPr>
      </w:pPr>
      <w:r>
        <w:rPr>
          <w:rFonts w:hint="eastAsia" w:ascii="黑体" w:hAnsi="黑体" w:eastAsia="黑体" w:cs="Times New Roman"/>
          <w:sz w:val="30"/>
          <w:szCs w:val="30"/>
        </w:rPr>
        <w:t>九、预算绩效情况说明</w:t>
      </w:r>
    </w:p>
    <w:p>
      <w:pPr>
        <w:autoSpaceDE w:val="0"/>
        <w:autoSpaceDN w:val="0"/>
        <w:adjustRightInd w:val="0"/>
        <w:spacing w:line="360" w:lineRule="auto"/>
        <w:jc w:val="left"/>
        <w:rPr>
          <w:rFonts w:hint="eastAsia" w:ascii="仿宋" w:hAnsi="仿宋" w:eastAsia="仿宋" w:cs="Times New Roman"/>
          <w:kern w:val="0"/>
          <w:sz w:val="30"/>
          <w:szCs w:val="30"/>
        </w:rPr>
      </w:pPr>
      <w:r>
        <w:rPr>
          <w:rFonts w:hint="eastAsia" w:ascii="仿宋" w:hAnsi="仿宋" w:eastAsia="仿宋" w:cs="仿宋_GB2312"/>
          <w:kern w:val="0"/>
          <w:sz w:val="30"/>
          <w:szCs w:val="30"/>
        </w:rPr>
        <w:t xml:space="preserve">   </w:t>
      </w:r>
      <w:r>
        <w:rPr>
          <w:rFonts w:hint="eastAsia" w:ascii="仿宋" w:hAnsi="仿宋" w:eastAsia="仿宋" w:cs="Times New Roman"/>
          <w:kern w:val="0"/>
          <w:sz w:val="30"/>
          <w:szCs w:val="30"/>
        </w:rPr>
        <w:t>（一）绩效管理工作开展情况。</w:t>
      </w:r>
    </w:p>
    <w:p>
      <w:pPr>
        <w:autoSpaceDE w:val="0"/>
        <w:autoSpaceDN w:val="0"/>
        <w:adjustRightInd w:val="0"/>
        <w:spacing w:line="360" w:lineRule="auto"/>
        <w:ind w:firstLine="600"/>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根据预算绩效管理要求，我部门组织对2018年度一般公共预算项目支出全面开展绩效自评，其中，一级项目0个，二级项目</w:t>
      </w:r>
    </w:p>
    <w:p>
      <w:pPr>
        <w:autoSpaceDE w:val="0"/>
        <w:autoSpaceDN w:val="0"/>
        <w:adjustRightInd w:val="0"/>
        <w:spacing w:line="360" w:lineRule="auto"/>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0个，共涉及资金0万元，占一般公共预算项目支出总额的0%。</w:t>
      </w:r>
    </w:p>
    <w:p>
      <w:pPr>
        <w:rPr>
          <w:rFonts w:hint="eastAsia" w:ascii="Calibri" w:hAnsi="Calibri" w:eastAsia="宋体" w:cs="Times New Roman"/>
        </w:rPr>
      </w:pPr>
    </w:p>
    <w:p>
      <w:pPr>
        <w:widowControl/>
        <w:spacing w:line="600" w:lineRule="exact"/>
        <w:ind w:firstLine="640"/>
        <w:jc w:val="center"/>
        <w:rPr>
          <w:rFonts w:hint="eastAsia" w:ascii="宋体" w:hAnsi="宋体" w:eastAsia="宋体" w:cs="Times New Roman"/>
          <w:b/>
          <w:sz w:val="32"/>
          <w:szCs w:val="32"/>
        </w:rPr>
      </w:pPr>
      <w:r>
        <w:rPr>
          <w:rFonts w:hint="eastAsia" w:ascii="宋体" w:hAnsi="宋体" w:eastAsia="宋体" w:cs="Times New Roman"/>
          <w:b/>
          <w:sz w:val="32"/>
          <w:szCs w:val="32"/>
        </w:rPr>
        <w:t>第四部分  名词解释</w:t>
      </w:r>
    </w:p>
    <w:p>
      <w:pPr>
        <w:pStyle w:val="4"/>
        <w:spacing w:line="600" w:lineRule="atLeast"/>
        <w:ind w:firstLine="600"/>
        <w:rPr>
          <w:rFonts w:hint="eastAsia" w:ascii="仿宋" w:hAnsi="仿宋" w:eastAsia="仿宋" w:cs="Times New Roman"/>
          <w:sz w:val="30"/>
          <w:szCs w:val="30"/>
        </w:rPr>
      </w:pPr>
    </w:p>
    <w:p>
      <w:pPr>
        <w:widowControl/>
        <w:spacing w:line="580" w:lineRule="exact"/>
        <w:jc w:val="left"/>
        <w:rPr>
          <w:rFonts w:hint="eastAsia" w:ascii="仿宋" w:hAnsi="仿宋" w:eastAsia="仿宋" w:cs="Times New Roman"/>
          <w:kern w:val="0"/>
          <w:sz w:val="30"/>
          <w:szCs w:val="30"/>
        </w:rPr>
      </w:pPr>
      <w:r>
        <w:rPr>
          <w:rFonts w:hint="eastAsia" w:ascii="仿宋" w:hAnsi="仿宋" w:eastAsia="仿宋" w:cs="Times New Roman"/>
          <w:kern w:val="0"/>
          <w:sz w:val="30"/>
          <w:szCs w:val="30"/>
        </w:rPr>
        <w:t xml:space="preserve">    </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一、收入科目</w:t>
      </w:r>
    </w:p>
    <w:p>
      <w:pPr>
        <w:widowControl/>
        <w:shd w:val="clear" w:color="auto" w:fill="auto"/>
        <w:autoSpaceDE w:val="0"/>
        <w:autoSpaceDN w:val="0"/>
        <w:adjustRightInd w:val="0"/>
        <w:spacing w:line="360" w:lineRule="auto"/>
        <w:ind w:firstLine="600" w:firstLineChars="2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（一）财政拨款：指市级财政当年拨付的资金。</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（二）其他收入：指除财政拨款、事业收入、事业单位经营收入等以外的各项收入。本局的其他收入是中央燃油税转移支付收入。</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（三）上年结转结余：填列2016年全部结转和结余的资金数，包括当年结转结余资金和历年滚存结转结余资金。</w:t>
      </w:r>
    </w:p>
    <w:p>
      <w:pPr>
        <w:widowControl/>
        <w:shd w:val="clear" w:color="auto" w:fill="auto"/>
        <w:autoSpaceDE w:val="0"/>
        <w:autoSpaceDN w:val="0"/>
        <w:adjustRightInd w:val="0"/>
        <w:spacing w:line="360" w:lineRule="auto"/>
        <w:ind w:firstLine="600" w:firstLineChars="2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二、支出科目</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color w:val="333333"/>
          <w:kern w:val="0"/>
          <w:sz w:val="30"/>
          <w:szCs w:val="30"/>
        </w:rPr>
        <w:t>“三公”经费：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auto"/>
        <w:autoSpaceDE w:val="0"/>
        <w:autoSpaceDN w:val="0"/>
        <w:adjustRightInd w:val="0"/>
        <w:spacing w:line="360" w:lineRule="auto"/>
        <w:ind w:firstLine="600" w:firstLineChars="2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三</w:t>
      </w:r>
      <w:r>
        <w:rPr>
          <w:rFonts w:hint="eastAsia" w:ascii="仿宋" w:hAnsi="仿宋" w:eastAsia="仿宋" w:cs="Times New Roman"/>
          <w:color w:val="333333"/>
          <w:kern w:val="0"/>
          <w:sz w:val="30"/>
          <w:szCs w:val="30"/>
        </w:rPr>
        <w:t>、机关运行经费：为保障行政（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四、</w:t>
      </w:r>
      <w:r>
        <w:rPr>
          <w:rFonts w:hint="eastAsia" w:ascii="仿宋" w:hAnsi="仿宋" w:eastAsia="仿宋" w:cs="Times New Roman"/>
          <w:color w:val="333333"/>
          <w:kern w:val="0"/>
          <w:sz w:val="30"/>
          <w:szCs w:val="30"/>
        </w:rPr>
        <w:t>住房保障支出：住房公积金支出。</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五、</w:t>
      </w:r>
      <w:r>
        <w:rPr>
          <w:rFonts w:hint="eastAsia" w:ascii="仿宋" w:hAnsi="仿宋" w:eastAsia="仿宋" w:cs="Times New Roman"/>
          <w:color w:val="333333"/>
          <w:kern w:val="0"/>
          <w:sz w:val="30"/>
          <w:szCs w:val="30"/>
        </w:rPr>
        <w:t>工资福利支出：反映单位开支的在职职工的各类劳动报酬，以及为上述人员缴纳的各项社会保险费等。</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六、</w:t>
      </w:r>
      <w:r>
        <w:rPr>
          <w:rFonts w:hint="eastAsia" w:ascii="仿宋" w:hAnsi="仿宋" w:eastAsia="仿宋" w:cs="Times New Roman"/>
          <w:color w:val="333333"/>
          <w:kern w:val="0"/>
          <w:sz w:val="30"/>
          <w:szCs w:val="30"/>
        </w:rPr>
        <w:t>商品和服务支出：反映单位购买商品和服务的支出，不包括用于购置固定资产的资本性支出。</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七、</w:t>
      </w:r>
      <w:r>
        <w:rPr>
          <w:rFonts w:hint="eastAsia" w:ascii="仿宋" w:hAnsi="仿宋" w:eastAsia="仿宋" w:cs="Times New Roman"/>
          <w:color w:val="333333"/>
          <w:kern w:val="0"/>
          <w:sz w:val="30"/>
          <w:szCs w:val="30"/>
        </w:rPr>
        <w:t>对个人和家庭的补助：反映单位用于对个人和家庭的补助支出，包括在职职工的公积金费用。</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八、</w:t>
      </w:r>
      <w:r>
        <w:rPr>
          <w:rFonts w:hint="eastAsia" w:ascii="仿宋" w:hAnsi="仿宋" w:eastAsia="仿宋" w:cs="Times New Roman"/>
          <w:color w:val="333333"/>
          <w:kern w:val="0"/>
          <w:sz w:val="30"/>
          <w:szCs w:val="30"/>
        </w:rPr>
        <w:t>培训支出：反映各部门安排的用于培训的支出。</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九、</w:t>
      </w:r>
      <w:r>
        <w:rPr>
          <w:rFonts w:hint="eastAsia" w:ascii="仿宋" w:hAnsi="仿宋" w:eastAsia="仿宋" w:cs="Times New Roman"/>
          <w:color w:val="333333"/>
          <w:kern w:val="0"/>
          <w:sz w:val="30"/>
          <w:szCs w:val="30"/>
        </w:rPr>
        <w:t>机关事业单位基本养老保险缴费支出：反映机关事业单位实施养老保险制度由单位缴纳的基本养老保险费的支出。</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十、</w:t>
      </w:r>
      <w:r>
        <w:rPr>
          <w:rFonts w:hint="eastAsia" w:ascii="仿宋" w:hAnsi="仿宋" w:eastAsia="仿宋" w:cs="Times New Roman"/>
          <w:color w:val="333333"/>
          <w:kern w:val="0"/>
          <w:sz w:val="30"/>
          <w:szCs w:val="30"/>
        </w:rPr>
        <w:t>行政单位医疗：反映行政事业单位基本医疗保险缴费经费。</w:t>
      </w:r>
    </w:p>
    <w:p>
      <w:pPr>
        <w:widowControl/>
        <w:shd w:val="clear" w:color="auto" w:fill="auto"/>
        <w:autoSpaceDE w:val="0"/>
        <w:autoSpaceDN w:val="0"/>
        <w:adjustRightInd w:val="0"/>
        <w:spacing w:line="360" w:lineRule="auto"/>
        <w:ind w:firstLine="600"/>
        <w:jc w:val="left"/>
        <w:rPr>
          <w:rFonts w:hint="eastAsia" w:ascii="仿宋" w:hAnsi="仿宋" w:eastAsia="仿宋" w:cs="Times New Roman"/>
          <w:color w:val="333333"/>
          <w:kern w:val="0"/>
          <w:sz w:val="30"/>
          <w:szCs w:val="30"/>
        </w:rPr>
      </w:pPr>
      <w:r>
        <w:rPr>
          <w:rFonts w:hint="eastAsia" w:ascii="仿宋" w:hAnsi="仿宋" w:eastAsia="仿宋" w:cs="Times New Roman"/>
          <w:kern w:val="0"/>
          <w:sz w:val="30"/>
          <w:szCs w:val="30"/>
        </w:rPr>
        <w:t>十一、</w:t>
      </w:r>
      <w:r>
        <w:rPr>
          <w:rFonts w:hint="eastAsia" w:ascii="仿宋" w:hAnsi="仿宋" w:eastAsia="仿宋" w:cs="Times New Roman"/>
          <w:color w:val="333333"/>
          <w:kern w:val="0"/>
          <w:sz w:val="30"/>
          <w:szCs w:val="30"/>
        </w:rPr>
        <w:t>事业单位医疗：反映财政部门集中安排的事业单位基本医疗保险缴费经费。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996CF"/>
    <w:multiLevelType w:val="singleLevel"/>
    <w:tmpl w:val="571996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D06E8"/>
    <w:rsid w:val="383D0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uiPriority w:val="0"/>
    <w:pPr>
      <w:widowControl/>
      <w:jc w:val="both"/>
    </w:pPr>
    <w:rPr>
      <w:rFonts w:ascii="Calibri" w:hAnsi="Calibri"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2019-10-26T12:54:00Z</dcterms:created>
  <dc:creator>小长风</dc:creator>
  <cp:lastModifiedBy>小长风</cp:lastModifiedBy>
  <dcterms:modified xsi:type="dcterms:W3CDTF">2019-10-26T12:54:59Z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