
<file path=[Content_Types].xml><?xml version="1.0" encoding="utf-8"?>
<Types xmlns="http://schemas.openxmlformats.org/package/2006/content-types">
  <Default Extension="xml" ContentType="application/xml"/>
  <Default Extension="jpeg" ContentType="image/jpe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黑体" w:eastAsia="黑体"/>
          <w:sz w:val="44"/>
          <w:szCs w:val="36"/>
        </w:rPr>
      </w:pPr>
      <w:r>
        <w:rPr>
          <w:rFonts w:hint="eastAsia" w:ascii="黑体" w:hAnsi="黑体" w:eastAsia="黑体"/>
          <w:sz w:val="44"/>
          <w:szCs w:val="36"/>
        </w:rPr>
        <w:t>江益镇中心卫生院</w:t>
      </w:r>
      <w:r>
        <w:rPr>
          <w:rFonts w:hint="eastAsia" w:ascii="黑体" w:eastAsia="黑体"/>
          <w:sz w:val="44"/>
          <w:szCs w:val="36"/>
        </w:rPr>
        <w:t>2018年度部门决算</w:t>
      </w:r>
    </w:p>
    <w:p>
      <w:pPr>
        <w:spacing w:line="600" w:lineRule="exact"/>
        <w:jc w:val="center"/>
        <w:rPr>
          <w:rFonts w:hint="eastAsia" w:ascii="黑体" w:eastAsia="黑体"/>
          <w:sz w:val="44"/>
          <w:szCs w:val="36"/>
        </w:rPr>
      </w:pPr>
    </w:p>
    <w:p>
      <w:pPr>
        <w:spacing w:line="600" w:lineRule="exact"/>
        <w:jc w:val="center"/>
        <w:rPr>
          <w:rFonts w:hint="eastAsia" w:ascii="黑体" w:eastAsia="黑体"/>
          <w:sz w:val="40"/>
          <w:szCs w:val="36"/>
        </w:rPr>
      </w:pPr>
      <w:r>
        <w:rPr>
          <w:rFonts w:hint="eastAsia" w:ascii="黑体" w:eastAsia="黑体"/>
          <w:sz w:val="40"/>
          <w:szCs w:val="36"/>
        </w:rPr>
        <w:t>目    录</w:t>
      </w:r>
    </w:p>
    <w:p>
      <w:pPr>
        <w:widowControl/>
        <w:spacing w:line="600" w:lineRule="exact"/>
        <w:ind w:firstLine="640"/>
        <w:jc w:val="left"/>
        <w:rPr>
          <w:rFonts w:hint="eastAsia" w:ascii="仿宋_GB2312" w:eastAsia="仿宋_GB2312"/>
          <w:sz w:val="32"/>
          <w:szCs w:val="30"/>
        </w:rPr>
      </w:pPr>
    </w:p>
    <w:p>
      <w:pPr>
        <w:widowControl/>
        <w:spacing w:line="600" w:lineRule="exact"/>
        <w:ind w:firstLine="640"/>
        <w:jc w:val="left"/>
        <w:rPr>
          <w:rFonts w:hint="eastAsia" w:ascii="黑体" w:hAnsi="黑体" w:eastAsia="黑体"/>
          <w:b/>
          <w:sz w:val="32"/>
          <w:szCs w:val="32"/>
        </w:rPr>
      </w:pPr>
      <w:r>
        <w:rPr>
          <w:rFonts w:hint="eastAsia" w:ascii="黑体" w:hAnsi="黑体" w:eastAsia="黑体"/>
          <w:b/>
          <w:sz w:val="32"/>
          <w:szCs w:val="32"/>
        </w:rPr>
        <w:t xml:space="preserve">第一部分 </w:t>
      </w:r>
      <w:r>
        <w:rPr>
          <w:rFonts w:hint="eastAsia" w:ascii="黑体" w:hAnsi="黑体" w:eastAsia="黑体"/>
          <w:sz w:val="32"/>
          <w:szCs w:val="32"/>
        </w:rPr>
        <w:t>共青城市江益镇中心卫生院部门</w:t>
      </w:r>
      <w:r>
        <w:rPr>
          <w:rFonts w:hint="eastAsia" w:ascii="黑体" w:hAnsi="黑体" w:eastAsia="黑体"/>
          <w:b/>
          <w:sz w:val="32"/>
          <w:szCs w:val="32"/>
        </w:rPr>
        <w:t>概况</w:t>
      </w:r>
    </w:p>
    <w:p>
      <w:pPr>
        <w:widowControl/>
        <w:spacing w:line="600" w:lineRule="exact"/>
        <w:ind w:firstLine="640"/>
        <w:jc w:val="left"/>
        <w:rPr>
          <w:rFonts w:hint="eastAsia" w:ascii="仿宋" w:hAnsi="仿宋" w:eastAsia="仿宋"/>
          <w:sz w:val="32"/>
          <w:szCs w:val="30"/>
        </w:rPr>
      </w:pPr>
      <w:r>
        <w:rPr>
          <w:rFonts w:hint="eastAsia" w:ascii="仿宋_GB2312" w:eastAsia="仿宋_GB2312"/>
          <w:b/>
          <w:sz w:val="32"/>
          <w:szCs w:val="30"/>
        </w:rPr>
        <w:t xml:space="preserve">    </w:t>
      </w:r>
      <w:r>
        <w:rPr>
          <w:rFonts w:hint="eastAsia" w:ascii="仿宋" w:hAnsi="仿宋" w:eastAsia="仿宋"/>
          <w:sz w:val="32"/>
          <w:szCs w:val="30"/>
        </w:rPr>
        <w:t>一、部门主要职责</w:t>
      </w:r>
    </w:p>
    <w:p>
      <w:pPr>
        <w:widowControl/>
        <w:spacing w:line="600" w:lineRule="exact"/>
        <w:ind w:firstLine="640"/>
        <w:jc w:val="left"/>
        <w:rPr>
          <w:rFonts w:hint="eastAsia" w:ascii="仿宋" w:hAnsi="仿宋" w:eastAsia="仿宋" w:cs="宋体"/>
          <w:kern w:val="0"/>
          <w:sz w:val="32"/>
          <w:szCs w:val="32"/>
        </w:rPr>
      </w:pPr>
      <w:r>
        <w:rPr>
          <w:rFonts w:hint="eastAsia" w:ascii="仿宋" w:hAnsi="仿宋" w:eastAsia="仿宋" w:cs="宋体"/>
          <w:kern w:val="0"/>
          <w:sz w:val="32"/>
          <w:szCs w:val="32"/>
        </w:rPr>
        <w:t xml:space="preserve">    二、部门基本情况</w:t>
      </w:r>
    </w:p>
    <w:p>
      <w:pPr>
        <w:widowControl/>
        <w:spacing w:line="600" w:lineRule="exact"/>
        <w:ind w:firstLine="640"/>
        <w:jc w:val="left"/>
        <w:rPr>
          <w:rFonts w:hint="eastAsia" w:ascii="黑体" w:hAnsi="黑体" w:eastAsia="黑体"/>
          <w:sz w:val="32"/>
          <w:szCs w:val="32"/>
        </w:rPr>
      </w:pPr>
      <w:r>
        <w:rPr>
          <w:rFonts w:hint="eastAsia" w:ascii="黑体" w:hAnsi="黑体" w:eastAsia="黑体"/>
          <w:sz w:val="32"/>
          <w:szCs w:val="32"/>
        </w:rPr>
        <w:t>第二部分  2018年度部门决算表</w:t>
      </w:r>
    </w:p>
    <w:p>
      <w:pPr>
        <w:widowControl/>
        <w:spacing w:line="600" w:lineRule="exact"/>
        <w:ind w:firstLine="1280" w:firstLineChars="400"/>
        <w:jc w:val="left"/>
        <w:rPr>
          <w:rFonts w:hint="eastAsia" w:ascii="仿宋" w:hAnsi="仿宋" w:eastAsia="仿宋"/>
          <w:sz w:val="32"/>
          <w:szCs w:val="30"/>
        </w:rPr>
      </w:pPr>
      <w:r>
        <w:rPr>
          <w:rFonts w:hint="eastAsia" w:ascii="仿宋" w:hAnsi="仿宋" w:eastAsia="仿宋"/>
          <w:sz w:val="32"/>
          <w:szCs w:val="30"/>
        </w:rPr>
        <w:t>一、收入支出决算总表</w:t>
      </w:r>
    </w:p>
    <w:p>
      <w:pPr>
        <w:widowControl/>
        <w:spacing w:line="600" w:lineRule="exact"/>
        <w:ind w:firstLine="1280" w:firstLineChars="400"/>
        <w:jc w:val="left"/>
        <w:rPr>
          <w:rFonts w:hint="eastAsia" w:ascii="仿宋" w:hAnsi="仿宋" w:eastAsia="仿宋"/>
          <w:sz w:val="32"/>
          <w:szCs w:val="30"/>
        </w:rPr>
      </w:pPr>
      <w:r>
        <w:rPr>
          <w:rFonts w:hint="eastAsia" w:ascii="仿宋" w:hAnsi="仿宋" w:eastAsia="仿宋"/>
          <w:sz w:val="32"/>
          <w:szCs w:val="30"/>
        </w:rPr>
        <w:t>二、收入决算表</w:t>
      </w:r>
    </w:p>
    <w:p>
      <w:pPr>
        <w:widowControl/>
        <w:spacing w:line="600" w:lineRule="exact"/>
        <w:ind w:firstLine="640"/>
        <w:jc w:val="left"/>
        <w:rPr>
          <w:rFonts w:hint="eastAsia" w:ascii="仿宋" w:hAnsi="仿宋" w:eastAsia="仿宋" w:cs="宋体"/>
          <w:kern w:val="0"/>
          <w:sz w:val="32"/>
          <w:szCs w:val="32"/>
        </w:rPr>
      </w:pPr>
      <w:r>
        <w:rPr>
          <w:rFonts w:hint="eastAsia" w:ascii="仿宋" w:hAnsi="仿宋" w:eastAsia="仿宋" w:cs="宋体"/>
          <w:kern w:val="0"/>
          <w:sz w:val="32"/>
          <w:szCs w:val="32"/>
        </w:rPr>
        <w:t xml:space="preserve">    三、支出决算表</w:t>
      </w:r>
    </w:p>
    <w:p>
      <w:pPr>
        <w:widowControl/>
        <w:spacing w:line="600" w:lineRule="exact"/>
        <w:ind w:firstLine="640"/>
        <w:jc w:val="left"/>
        <w:rPr>
          <w:rFonts w:hint="eastAsia" w:ascii="仿宋" w:hAnsi="仿宋" w:eastAsia="仿宋" w:cs="宋体"/>
          <w:kern w:val="0"/>
          <w:sz w:val="32"/>
          <w:szCs w:val="32"/>
        </w:rPr>
      </w:pPr>
      <w:r>
        <w:rPr>
          <w:rFonts w:hint="eastAsia" w:ascii="仿宋" w:hAnsi="仿宋" w:eastAsia="仿宋" w:cs="宋体"/>
          <w:kern w:val="0"/>
          <w:sz w:val="32"/>
          <w:szCs w:val="32"/>
        </w:rPr>
        <w:t xml:space="preserve">    四、财政拨款收入支出决算总表</w:t>
      </w:r>
    </w:p>
    <w:p>
      <w:pPr>
        <w:widowControl/>
        <w:spacing w:line="600" w:lineRule="exact"/>
        <w:ind w:firstLine="640"/>
        <w:jc w:val="left"/>
        <w:rPr>
          <w:rFonts w:hint="eastAsia" w:ascii="仿宋" w:hAnsi="仿宋" w:eastAsia="仿宋" w:cs="宋体"/>
          <w:kern w:val="0"/>
          <w:sz w:val="32"/>
          <w:szCs w:val="32"/>
        </w:rPr>
      </w:pPr>
      <w:r>
        <w:rPr>
          <w:rFonts w:hint="eastAsia" w:ascii="仿宋" w:hAnsi="仿宋" w:eastAsia="仿宋" w:cs="宋体"/>
          <w:kern w:val="0"/>
          <w:sz w:val="32"/>
          <w:szCs w:val="32"/>
        </w:rPr>
        <w:t xml:space="preserve">    五、一般公共预算财政拨款支出决算表</w:t>
      </w:r>
    </w:p>
    <w:p>
      <w:pPr>
        <w:widowControl/>
        <w:spacing w:line="600" w:lineRule="exact"/>
        <w:ind w:firstLine="640"/>
        <w:jc w:val="left"/>
        <w:rPr>
          <w:rFonts w:hint="eastAsia" w:ascii="仿宋" w:hAnsi="仿宋" w:eastAsia="仿宋" w:cs="宋体"/>
          <w:kern w:val="0"/>
          <w:sz w:val="32"/>
          <w:szCs w:val="32"/>
        </w:rPr>
      </w:pPr>
      <w:r>
        <w:rPr>
          <w:rFonts w:hint="eastAsia" w:ascii="仿宋" w:hAnsi="仿宋" w:eastAsia="仿宋" w:cs="宋体"/>
          <w:kern w:val="0"/>
          <w:sz w:val="32"/>
          <w:szCs w:val="32"/>
        </w:rPr>
        <w:t xml:space="preserve">    六、一般公共预算财政拨款基本支出决算表</w:t>
      </w:r>
    </w:p>
    <w:p>
      <w:pPr>
        <w:widowControl/>
        <w:spacing w:line="600" w:lineRule="exact"/>
        <w:ind w:firstLine="640"/>
        <w:jc w:val="left"/>
        <w:rPr>
          <w:rFonts w:hint="eastAsia" w:ascii="仿宋" w:hAnsi="仿宋" w:eastAsia="仿宋" w:cs="宋体"/>
          <w:kern w:val="0"/>
          <w:sz w:val="32"/>
          <w:szCs w:val="32"/>
        </w:rPr>
      </w:pPr>
      <w:r>
        <w:rPr>
          <w:rFonts w:hint="eastAsia" w:ascii="仿宋" w:hAnsi="仿宋" w:eastAsia="仿宋" w:cs="宋体"/>
          <w:kern w:val="0"/>
          <w:sz w:val="32"/>
          <w:szCs w:val="32"/>
        </w:rPr>
        <w:t xml:space="preserve">    七、一般公共预算财政拨款“三公”经费支出决算</w:t>
      </w:r>
    </w:p>
    <w:p>
      <w:pPr>
        <w:widowControl/>
        <w:spacing w:line="600" w:lineRule="exact"/>
        <w:ind w:firstLine="640"/>
        <w:jc w:val="left"/>
        <w:rPr>
          <w:rFonts w:hint="eastAsia" w:ascii="仿宋" w:hAnsi="仿宋" w:eastAsia="仿宋" w:cs="宋体"/>
          <w:kern w:val="0"/>
          <w:sz w:val="32"/>
          <w:szCs w:val="32"/>
        </w:rPr>
      </w:pPr>
      <w:r>
        <w:rPr>
          <w:rFonts w:hint="eastAsia" w:ascii="仿宋" w:hAnsi="仿宋" w:eastAsia="仿宋" w:cs="宋体"/>
          <w:kern w:val="0"/>
          <w:sz w:val="32"/>
          <w:szCs w:val="32"/>
        </w:rPr>
        <w:t>表</w:t>
      </w:r>
    </w:p>
    <w:p>
      <w:pPr>
        <w:widowControl/>
        <w:spacing w:line="600" w:lineRule="exact"/>
        <w:ind w:firstLine="640"/>
        <w:jc w:val="left"/>
        <w:rPr>
          <w:rFonts w:hint="eastAsia" w:ascii="仿宋" w:hAnsi="仿宋" w:eastAsia="仿宋" w:cs="宋体"/>
          <w:kern w:val="0"/>
          <w:sz w:val="32"/>
          <w:szCs w:val="32"/>
        </w:rPr>
      </w:pPr>
      <w:r>
        <w:rPr>
          <w:rFonts w:hint="eastAsia" w:ascii="仿宋" w:hAnsi="仿宋" w:eastAsia="仿宋" w:cs="宋体"/>
          <w:kern w:val="0"/>
          <w:sz w:val="32"/>
          <w:szCs w:val="32"/>
        </w:rPr>
        <w:t xml:space="preserve">    八、政府性基金预算财政拨款收入支出决算表</w:t>
      </w:r>
    </w:p>
    <w:p>
      <w:pPr>
        <w:widowControl/>
        <w:spacing w:line="600" w:lineRule="exact"/>
        <w:ind w:firstLine="640"/>
        <w:jc w:val="left"/>
        <w:rPr>
          <w:rFonts w:hint="eastAsia" w:ascii="仿宋" w:hAnsi="仿宋" w:eastAsia="仿宋" w:cs="宋体"/>
          <w:kern w:val="0"/>
          <w:sz w:val="32"/>
          <w:szCs w:val="32"/>
        </w:rPr>
      </w:pPr>
      <w:r>
        <w:rPr>
          <w:rFonts w:hint="eastAsia" w:ascii="仿宋" w:hAnsi="仿宋" w:eastAsia="仿宋" w:cs="宋体"/>
          <w:kern w:val="0"/>
          <w:sz w:val="32"/>
          <w:szCs w:val="32"/>
        </w:rPr>
        <w:t xml:space="preserve">    九、国有资产占用情况表</w:t>
      </w:r>
    </w:p>
    <w:p>
      <w:pPr>
        <w:widowControl/>
        <w:spacing w:line="600" w:lineRule="exact"/>
        <w:jc w:val="left"/>
        <w:rPr>
          <w:rFonts w:hint="eastAsia" w:ascii="黑体" w:hAnsi="黑体" w:eastAsia="黑体"/>
          <w:sz w:val="32"/>
          <w:szCs w:val="32"/>
        </w:rPr>
      </w:pPr>
      <w:r>
        <w:rPr>
          <w:rFonts w:hint="eastAsia" w:ascii="仿宋" w:hAnsi="仿宋" w:eastAsia="仿宋" w:cs="宋体"/>
          <w:kern w:val="0"/>
          <w:sz w:val="32"/>
          <w:szCs w:val="32"/>
        </w:rPr>
        <w:t xml:space="preserve">    </w:t>
      </w:r>
      <w:r>
        <w:rPr>
          <w:rFonts w:hint="eastAsia" w:ascii="黑体" w:hAnsi="黑体" w:eastAsia="黑体"/>
          <w:sz w:val="32"/>
          <w:szCs w:val="32"/>
        </w:rPr>
        <w:t>第三部分  2018年度部门决算情况说明</w:t>
      </w:r>
    </w:p>
    <w:p>
      <w:pPr>
        <w:widowControl/>
        <w:spacing w:line="600" w:lineRule="exact"/>
        <w:ind w:firstLine="1280" w:firstLineChars="400"/>
        <w:jc w:val="left"/>
        <w:rPr>
          <w:rFonts w:hint="eastAsia" w:ascii="仿宋" w:hAnsi="仿宋" w:eastAsia="仿宋"/>
          <w:sz w:val="32"/>
          <w:szCs w:val="30"/>
        </w:rPr>
      </w:pPr>
      <w:r>
        <w:rPr>
          <w:rFonts w:hint="eastAsia" w:ascii="仿宋" w:hAnsi="仿宋" w:eastAsia="仿宋"/>
          <w:sz w:val="32"/>
          <w:szCs w:val="30"/>
        </w:rPr>
        <w:t>一、收入决算情况说明</w:t>
      </w:r>
    </w:p>
    <w:p>
      <w:pPr>
        <w:widowControl/>
        <w:spacing w:line="600" w:lineRule="exact"/>
        <w:ind w:firstLine="1280" w:firstLineChars="400"/>
        <w:jc w:val="left"/>
        <w:rPr>
          <w:rFonts w:hint="eastAsia" w:ascii="仿宋" w:hAnsi="仿宋" w:eastAsia="仿宋"/>
          <w:sz w:val="32"/>
          <w:szCs w:val="30"/>
        </w:rPr>
      </w:pPr>
      <w:r>
        <w:rPr>
          <w:rFonts w:hint="eastAsia" w:ascii="仿宋" w:hAnsi="仿宋" w:eastAsia="仿宋"/>
          <w:sz w:val="32"/>
          <w:szCs w:val="30"/>
        </w:rPr>
        <w:t>二、支出决算情况说明</w:t>
      </w:r>
    </w:p>
    <w:p>
      <w:pPr>
        <w:widowControl/>
        <w:spacing w:line="600" w:lineRule="exact"/>
        <w:ind w:firstLine="1280" w:firstLineChars="400"/>
        <w:jc w:val="left"/>
        <w:rPr>
          <w:rFonts w:hint="eastAsia" w:ascii="仿宋" w:hAnsi="仿宋" w:eastAsia="仿宋"/>
          <w:sz w:val="32"/>
          <w:szCs w:val="30"/>
        </w:rPr>
      </w:pPr>
      <w:r>
        <w:rPr>
          <w:rFonts w:hint="eastAsia" w:ascii="仿宋" w:hAnsi="仿宋" w:eastAsia="仿宋"/>
          <w:sz w:val="32"/>
          <w:szCs w:val="30"/>
        </w:rPr>
        <w:t>三、财政拨款支出决算情况说明</w:t>
      </w:r>
    </w:p>
    <w:p>
      <w:pPr>
        <w:widowControl/>
        <w:spacing w:line="600" w:lineRule="exact"/>
        <w:ind w:firstLine="1280" w:firstLineChars="400"/>
        <w:jc w:val="left"/>
        <w:rPr>
          <w:rFonts w:hint="eastAsia" w:ascii="仿宋" w:hAnsi="仿宋" w:eastAsia="仿宋"/>
          <w:sz w:val="32"/>
          <w:szCs w:val="30"/>
        </w:rPr>
      </w:pPr>
      <w:r>
        <w:rPr>
          <w:rFonts w:hint="eastAsia" w:ascii="仿宋" w:hAnsi="仿宋" w:eastAsia="仿宋"/>
          <w:sz w:val="32"/>
          <w:szCs w:val="30"/>
        </w:rPr>
        <w:t>四、一般公共预算财政拨款基本支出决算情况说明</w:t>
      </w:r>
    </w:p>
    <w:p>
      <w:pPr>
        <w:widowControl/>
        <w:spacing w:line="600" w:lineRule="exact"/>
        <w:ind w:firstLine="1280" w:firstLineChars="400"/>
        <w:jc w:val="left"/>
        <w:rPr>
          <w:rFonts w:hint="eastAsia" w:ascii="仿宋" w:hAnsi="仿宋" w:eastAsia="仿宋"/>
          <w:sz w:val="32"/>
          <w:szCs w:val="30"/>
        </w:rPr>
      </w:pPr>
      <w:r>
        <w:rPr>
          <w:rFonts w:hint="eastAsia" w:ascii="仿宋" w:hAnsi="仿宋" w:eastAsia="仿宋"/>
          <w:sz w:val="32"/>
          <w:szCs w:val="30"/>
        </w:rPr>
        <w:t>五、一般公共预算财政拨款“三公”经费支出决算</w:t>
      </w:r>
    </w:p>
    <w:p>
      <w:pPr>
        <w:widowControl/>
        <w:spacing w:line="600" w:lineRule="exact"/>
        <w:jc w:val="left"/>
        <w:rPr>
          <w:rFonts w:hint="eastAsia" w:ascii="仿宋" w:hAnsi="仿宋" w:eastAsia="仿宋"/>
          <w:sz w:val="32"/>
          <w:szCs w:val="30"/>
        </w:rPr>
      </w:pPr>
      <w:r>
        <w:rPr>
          <w:rFonts w:hint="eastAsia" w:ascii="仿宋" w:hAnsi="仿宋" w:eastAsia="仿宋"/>
          <w:sz w:val="32"/>
          <w:szCs w:val="30"/>
        </w:rPr>
        <w:t xml:space="preserve">    情况说明</w:t>
      </w:r>
    </w:p>
    <w:p>
      <w:pPr>
        <w:widowControl/>
        <w:spacing w:line="600" w:lineRule="exact"/>
        <w:ind w:firstLine="1280" w:firstLineChars="400"/>
        <w:jc w:val="left"/>
        <w:rPr>
          <w:rFonts w:hint="eastAsia" w:ascii="仿宋" w:hAnsi="仿宋" w:eastAsia="仿宋"/>
          <w:sz w:val="32"/>
          <w:szCs w:val="30"/>
        </w:rPr>
      </w:pPr>
      <w:r>
        <w:rPr>
          <w:rFonts w:hint="eastAsia" w:ascii="仿宋" w:hAnsi="仿宋" w:eastAsia="仿宋"/>
          <w:sz w:val="32"/>
          <w:szCs w:val="30"/>
        </w:rPr>
        <w:t>六、机关运行经费支出情况说明</w:t>
      </w:r>
    </w:p>
    <w:p>
      <w:pPr>
        <w:widowControl/>
        <w:spacing w:line="600" w:lineRule="exact"/>
        <w:ind w:firstLine="640"/>
        <w:jc w:val="left"/>
        <w:rPr>
          <w:rFonts w:hint="eastAsia" w:ascii="仿宋" w:hAnsi="仿宋" w:eastAsia="仿宋"/>
          <w:sz w:val="32"/>
          <w:szCs w:val="30"/>
        </w:rPr>
      </w:pPr>
      <w:r>
        <w:rPr>
          <w:rFonts w:hint="eastAsia" w:ascii="仿宋" w:hAnsi="仿宋" w:eastAsia="仿宋"/>
          <w:sz w:val="32"/>
          <w:szCs w:val="30"/>
        </w:rPr>
        <w:t xml:space="preserve">    七、政府采购支出情况说明</w:t>
      </w:r>
    </w:p>
    <w:p>
      <w:pPr>
        <w:widowControl/>
        <w:spacing w:line="600" w:lineRule="exact"/>
        <w:ind w:firstLine="640"/>
        <w:jc w:val="left"/>
        <w:rPr>
          <w:rFonts w:hint="eastAsia" w:ascii="仿宋" w:hAnsi="仿宋" w:eastAsia="仿宋"/>
          <w:sz w:val="32"/>
          <w:szCs w:val="30"/>
        </w:rPr>
      </w:pPr>
      <w:r>
        <w:rPr>
          <w:rFonts w:hint="eastAsia" w:ascii="仿宋" w:hAnsi="仿宋" w:eastAsia="仿宋"/>
          <w:sz w:val="32"/>
          <w:szCs w:val="30"/>
        </w:rPr>
        <w:t xml:space="preserve">    八、国有资产占用情况说明</w:t>
      </w:r>
    </w:p>
    <w:p>
      <w:pPr>
        <w:widowControl/>
        <w:spacing w:line="600" w:lineRule="exact"/>
        <w:ind w:firstLine="640"/>
        <w:jc w:val="left"/>
        <w:rPr>
          <w:rFonts w:hint="eastAsia" w:ascii="仿宋" w:hAnsi="仿宋" w:eastAsia="仿宋"/>
          <w:sz w:val="32"/>
          <w:szCs w:val="30"/>
        </w:rPr>
      </w:pPr>
      <w:r>
        <w:rPr>
          <w:rFonts w:hint="eastAsia" w:ascii="仿宋" w:hAnsi="仿宋" w:eastAsia="仿宋"/>
          <w:sz w:val="32"/>
          <w:szCs w:val="30"/>
        </w:rPr>
        <w:t xml:space="preserve">    九、预算绩效情况说明</w:t>
      </w:r>
    </w:p>
    <w:p>
      <w:pPr>
        <w:widowControl/>
        <w:spacing w:line="600" w:lineRule="exact"/>
        <w:ind w:firstLine="640"/>
        <w:jc w:val="left"/>
        <w:rPr>
          <w:rFonts w:ascii="仿宋" w:hAnsi="仿宋" w:eastAsia="仿宋"/>
          <w:sz w:val="32"/>
          <w:szCs w:val="30"/>
        </w:rPr>
      </w:pPr>
      <w:r>
        <w:rPr>
          <w:rFonts w:hint="eastAsia" w:ascii="黑体" w:hAnsi="黑体" w:eastAsia="黑体"/>
          <w:sz w:val="32"/>
          <w:szCs w:val="32"/>
        </w:rPr>
        <w:t>第四部分  名词解释</w:t>
      </w:r>
    </w:p>
    <w:p>
      <w:pPr>
        <w:ind w:firstLine="630"/>
        <w:jc w:val="center"/>
        <w:rPr>
          <w:rFonts w:hint="eastAsia" w:ascii="宋体" w:hAnsi="宋体"/>
          <w:b/>
          <w:sz w:val="36"/>
          <w:szCs w:val="36"/>
        </w:rPr>
      </w:pPr>
    </w:p>
    <w:p>
      <w:pPr>
        <w:ind w:firstLine="630"/>
        <w:jc w:val="center"/>
        <w:rPr>
          <w:rFonts w:hint="eastAsia" w:ascii="宋体" w:hAnsi="宋体"/>
          <w:b/>
          <w:sz w:val="36"/>
          <w:szCs w:val="36"/>
        </w:rPr>
      </w:pPr>
    </w:p>
    <w:p>
      <w:pPr>
        <w:ind w:firstLine="630"/>
        <w:jc w:val="center"/>
        <w:rPr>
          <w:rFonts w:hint="eastAsia" w:ascii="宋体" w:hAnsi="宋体"/>
          <w:b/>
          <w:sz w:val="36"/>
          <w:szCs w:val="36"/>
        </w:rPr>
      </w:pPr>
    </w:p>
    <w:p>
      <w:pPr>
        <w:ind w:firstLine="630"/>
        <w:jc w:val="center"/>
        <w:rPr>
          <w:rFonts w:hint="eastAsia" w:ascii="宋体" w:hAnsi="宋体"/>
          <w:b/>
          <w:sz w:val="36"/>
          <w:szCs w:val="36"/>
        </w:rPr>
      </w:pPr>
    </w:p>
    <w:p>
      <w:pPr>
        <w:ind w:firstLine="630"/>
        <w:jc w:val="center"/>
        <w:rPr>
          <w:rFonts w:hint="eastAsia" w:ascii="宋体" w:hAnsi="宋体"/>
          <w:b/>
          <w:sz w:val="36"/>
          <w:szCs w:val="36"/>
        </w:rPr>
      </w:pPr>
    </w:p>
    <w:p>
      <w:pPr>
        <w:ind w:firstLine="630"/>
        <w:jc w:val="center"/>
        <w:rPr>
          <w:rFonts w:hint="eastAsia" w:ascii="宋体" w:hAnsi="宋体"/>
          <w:b/>
          <w:sz w:val="36"/>
          <w:szCs w:val="36"/>
        </w:rPr>
      </w:pPr>
    </w:p>
    <w:p>
      <w:pPr>
        <w:ind w:firstLine="630"/>
        <w:jc w:val="center"/>
        <w:rPr>
          <w:rFonts w:hint="eastAsia" w:ascii="宋体" w:hAnsi="宋体"/>
          <w:b/>
          <w:sz w:val="36"/>
          <w:szCs w:val="36"/>
        </w:rPr>
      </w:pPr>
    </w:p>
    <w:p>
      <w:pPr>
        <w:ind w:firstLine="630"/>
        <w:jc w:val="center"/>
        <w:rPr>
          <w:rFonts w:hint="eastAsia" w:ascii="宋体" w:hAnsi="宋体"/>
          <w:b/>
          <w:sz w:val="36"/>
          <w:szCs w:val="36"/>
        </w:rPr>
      </w:pPr>
    </w:p>
    <w:p>
      <w:pPr>
        <w:ind w:firstLine="630"/>
        <w:jc w:val="center"/>
        <w:rPr>
          <w:rFonts w:hint="eastAsia" w:ascii="宋体" w:hAnsi="宋体"/>
          <w:b/>
          <w:sz w:val="36"/>
          <w:szCs w:val="36"/>
        </w:rPr>
      </w:pPr>
    </w:p>
    <w:p>
      <w:pPr>
        <w:ind w:firstLine="630"/>
        <w:jc w:val="center"/>
        <w:rPr>
          <w:rFonts w:hint="eastAsia" w:ascii="宋体" w:hAnsi="宋体"/>
          <w:b/>
          <w:sz w:val="36"/>
          <w:szCs w:val="36"/>
        </w:rPr>
      </w:pPr>
    </w:p>
    <w:p>
      <w:pPr>
        <w:ind w:firstLine="630"/>
        <w:jc w:val="center"/>
        <w:rPr>
          <w:rFonts w:hint="eastAsia" w:ascii="宋体" w:hAnsi="宋体"/>
          <w:b/>
          <w:sz w:val="36"/>
          <w:szCs w:val="36"/>
        </w:rPr>
      </w:pPr>
    </w:p>
    <w:p>
      <w:pPr>
        <w:ind w:firstLine="630"/>
        <w:jc w:val="center"/>
        <w:rPr>
          <w:rFonts w:hint="eastAsia" w:ascii="宋体" w:hAnsi="宋体"/>
          <w:b/>
          <w:sz w:val="36"/>
          <w:szCs w:val="36"/>
        </w:rPr>
      </w:pPr>
    </w:p>
    <w:p>
      <w:pPr>
        <w:ind w:firstLine="630"/>
        <w:jc w:val="center"/>
        <w:rPr>
          <w:rFonts w:hint="eastAsia" w:ascii="宋体" w:hAnsi="宋体"/>
          <w:b/>
          <w:sz w:val="36"/>
          <w:szCs w:val="36"/>
        </w:rPr>
      </w:pPr>
    </w:p>
    <w:p>
      <w:pPr>
        <w:ind w:firstLine="630"/>
        <w:jc w:val="center"/>
        <w:rPr>
          <w:rFonts w:hint="eastAsia" w:ascii="宋体" w:hAnsi="宋体"/>
          <w:b/>
          <w:sz w:val="36"/>
          <w:szCs w:val="36"/>
        </w:rPr>
      </w:pPr>
    </w:p>
    <w:p>
      <w:pPr>
        <w:ind w:firstLine="630"/>
        <w:jc w:val="center"/>
        <w:rPr>
          <w:rFonts w:hint="eastAsia" w:ascii="宋体" w:hAnsi="宋体"/>
          <w:b/>
          <w:sz w:val="36"/>
          <w:szCs w:val="36"/>
        </w:rPr>
      </w:pPr>
    </w:p>
    <w:p>
      <w:pPr>
        <w:widowControl/>
        <w:spacing w:line="580" w:lineRule="exact"/>
        <w:jc w:val="center"/>
        <w:rPr>
          <w:rFonts w:hint="eastAsia" w:ascii="宋体" w:hAnsi="宋体"/>
          <w:b/>
          <w:sz w:val="32"/>
          <w:szCs w:val="30"/>
        </w:rPr>
      </w:pPr>
      <w:r>
        <w:rPr>
          <w:rFonts w:hint="eastAsia" w:ascii="宋体" w:hAnsi="宋体"/>
          <w:b/>
          <w:sz w:val="32"/>
          <w:szCs w:val="30"/>
        </w:rPr>
        <w:t>第一部分 共青城市江益镇中心卫生院</w:t>
      </w:r>
      <w:r>
        <w:rPr>
          <w:rFonts w:hint="eastAsia" w:ascii="宋体" w:hAnsi="宋体"/>
          <w:b/>
          <w:sz w:val="32"/>
          <w:szCs w:val="32"/>
        </w:rPr>
        <w:t>部门</w:t>
      </w:r>
      <w:r>
        <w:rPr>
          <w:rFonts w:hint="eastAsia" w:ascii="宋体" w:hAnsi="宋体"/>
          <w:b/>
          <w:sz w:val="32"/>
          <w:szCs w:val="30"/>
        </w:rPr>
        <w:t>概况</w:t>
      </w:r>
    </w:p>
    <w:p>
      <w:pPr>
        <w:rPr>
          <w:rFonts w:hint="eastAsia"/>
          <w:sz w:val="32"/>
          <w:szCs w:val="32"/>
        </w:rPr>
      </w:pPr>
    </w:p>
    <w:p>
      <w:pPr>
        <w:ind w:firstLine="630"/>
        <w:jc w:val="left"/>
        <w:rPr>
          <w:rFonts w:hint="eastAsia" w:ascii="黑体" w:hAnsi="黑体" w:eastAsia="黑体"/>
          <w:sz w:val="30"/>
          <w:szCs w:val="30"/>
        </w:rPr>
      </w:pPr>
      <w:r>
        <w:rPr>
          <w:rFonts w:hint="eastAsia" w:ascii="黑体" w:hAnsi="黑体" w:eastAsia="黑体"/>
          <w:sz w:val="30"/>
          <w:szCs w:val="30"/>
        </w:rPr>
        <w:t>一、部门主要职能</w:t>
      </w:r>
    </w:p>
    <w:p>
      <w:pPr>
        <w:ind w:firstLine="630"/>
        <w:jc w:val="left"/>
        <w:rPr>
          <w:rFonts w:hint="eastAsia" w:ascii="仿宋" w:hAnsi="仿宋" w:eastAsia="仿宋"/>
          <w:sz w:val="30"/>
          <w:szCs w:val="30"/>
        </w:rPr>
      </w:pPr>
      <w:r>
        <w:rPr>
          <w:rFonts w:hint="eastAsia" w:ascii="仿宋" w:hAnsi="仿宋" w:eastAsia="仿宋"/>
          <w:sz w:val="30"/>
          <w:szCs w:val="30"/>
        </w:rPr>
        <w:t>贯彻执行党和国家的教育方针、政策、法律、法规；负责做好本片区群众的医疗保健、防疫和基本公共卫生工作，完成卫生和人口计划生育局下达的各项任务。</w:t>
      </w:r>
    </w:p>
    <w:p>
      <w:pPr>
        <w:ind w:firstLine="630"/>
        <w:jc w:val="left"/>
        <w:rPr>
          <w:rFonts w:hint="eastAsia" w:ascii="黑体" w:hAnsi="黑体" w:eastAsia="黑体"/>
          <w:sz w:val="30"/>
          <w:szCs w:val="30"/>
        </w:rPr>
      </w:pPr>
      <w:r>
        <w:rPr>
          <w:rFonts w:hint="eastAsia" w:ascii="黑体" w:hAnsi="黑体" w:eastAsia="黑体"/>
          <w:sz w:val="30"/>
          <w:szCs w:val="30"/>
        </w:rPr>
        <w:t>二、部门基本情况</w:t>
      </w:r>
    </w:p>
    <w:p>
      <w:pPr>
        <w:ind w:firstLine="630"/>
        <w:jc w:val="left"/>
        <w:rPr>
          <w:rFonts w:hint="eastAsia" w:ascii="仿宋" w:hAnsi="仿宋" w:eastAsia="仿宋"/>
          <w:sz w:val="30"/>
          <w:szCs w:val="30"/>
        </w:rPr>
      </w:pPr>
      <w:r>
        <w:rPr>
          <w:rFonts w:hint="eastAsia" w:ascii="仿宋" w:hAnsi="仿宋" w:eastAsia="仿宋"/>
          <w:sz w:val="30"/>
          <w:szCs w:val="30"/>
        </w:rPr>
        <w:t>纳入本套部门决算汇编范围的单位共1个，包括：</w:t>
      </w:r>
      <w:r>
        <w:rPr>
          <w:rFonts w:hint="eastAsia" w:ascii="仿宋" w:hAnsi="仿宋"/>
          <w:sz w:val="30"/>
          <w:szCs w:val="30"/>
        </w:rPr>
        <w:t>共青城市江益镇中心卫生院</w:t>
      </w:r>
      <w:r>
        <w:rPr>
          <w:rFonts w:hint="eastAsia" w:ascii="仿宋" w:hAnsi="仿宋" w:eastAsia="仿宋"/>
          <w:sz w:val="30"/>
          <w:szCs w:val="30"/>
        </w:rPr>
        <w:t>。</w:t>
      </w:r>
    </w:p>
    <w:p>
      <w:pPr>
        <w:ind w:firstLine="630"/>
        <w:jc w:val="left"/>
        <w:rPr>
          <w:rFonts w:hint="eastAsia" w:ascii="仿宋" w:hAnsi="仿宋" w:eastAsia="仿宋"/>
          <w:sz w:val="30"/>
          <w:szCs w:val="30"/>
        </w:rPr>
      </w:pPr>
      <w:r>
        <w:rPr>
          <w:rFonts w:hint="eastAsia" w:ascii="仿宋" w:hAnsi="仿宋" w:eastAsia="仿宋"/>
          <w:sz w:val="30"/>
          <w:szCs w:val="30"/>
        </w:rPr>
        <w:t>本部门2018年年末编制人数17人，其中行政编制0人，事业编制17人；年末实有人数22人，其中在职人员14人，</w:t>
      </w:r>
      <w:r>
        <w:rPr>
          <w:rFonts w:hint="eastAsia" w:ascii="仿宋" w:hAnsi="仿宋"/>
          <w:sz w:val="30"/>
          <w:szCs w:val="30"/>
        </w:rPr>
        <w:t>聘用人员8人，</w:t>
      </w:r>
      <w:r>
        <w:rPr>
          <w:rFonts w:hint="eastAsia" w:ascii="仿宋" w:hAnsi="仿宋" w:eastAsia="仿宋"/>
          <w:sz w:val="30"/>
          <w:szCs w:val="30"/>
        </w:rPr>
        <w:t>离休人员0人，退休人员6人；年末学生人数0人。</w:t>
      </w:r>
    </w:p>
    <w:p>
      <w:pPr>
        <w:ind w:firstLine="630"/>
        <w:jc w:val="left"/>
        <w:rPr>
          <w:rFonts w:hint="eastAsia" w:ascii="仿宋" w:hAnsi="仿宋" w:eastAsia="仿宋"/>
          <w:sz w:val="30"/>
          <w:szCs w:val="30"/>
        </w:rPr>
      </w:pPr>
    </w:p>
    <w:p>
      <w:pPr>
        <w:widowControl/>
        <w:spacing w:line="600" w:lineRule="exact"/>
        <w:ind w:firstLine="640"/>
        <w:jc w:val="center"/>
        <w:rPr>
          <w:rFonts w:hint="eastAsia" w:ascii="宋体" w:hAnsi="宋体"/>
          <w:b/>
          <w:sz w:val="32"/>
          <w:szCs w:val="32"/>
        </w:rPr>
      </w:pPr>
    </w:p>
    <w:p>
      <w:pPr>
        <w:widowControl/>
        <w:spacing w:line="600" w:lineRule="exact"/>
        <w:ind w:firstLine="640"/>
        <w:jc w:val="center"/>
        <w:rPr>
          <w:rFonts w:hint="eastAsia" w:ascii="宋体" w:hAnsi="宋体"/>
          <w:b/>
          <w:sz w:val="32"/>
          <w:szCs w:val="32"/>
        </w:rPr>
      </w:pPr>
    </w:p>
    <w:p>
      <w:pPr>
        <w:widowControl/>
        <w:spacing w:line="600" w:lineRule="exact"/>
        <w:ind w:firstLine="640"/>
        <w:jc w:val="center"/>
        <w:rPr>
          <w:rFonts w:hint="eastAsia" w:ascii="宋体" w:hAnsi="宋体"/>
          <w:b/>
          <w:sz w:val="32"/>
          <w:szCs w:val="32"/>
        </w:rPr>
      </w:pPr>
    </w:p>
    <w:p>
      <w:pPr>
        <w:widowControl/>
        <w:spacing w:line="600" w:lineRule="exact"/>
        <w:ind w:firstLine="640"/>
        <w:jc w:val="center"/>
        <w:rPr>
          <w:rFonts w:hint="eastAsia" w:ascii="宋体" w:hAnsi="宋体"/>
          <w:b/>
          <w:sz w:val="32"/>
          <w:szCs w:val="32"/>
        </w:rPr>
      </w:pPr>
    </w:p>
    <w:p>
      <w:pPr>
        <w:widowControl/>
        <w:spacing w:line="600" w:lineRule="exact"/>
        <w:ind w:firstLine="640"/>
        <w:jc w:val="center"/>
        <w:rPr>
          <w:rFonts w:hint="eastAsia" w:ascii="宋体" w:hAnsi="宋体"/>
          <w:b/>
          <w:sz w:val="32"/>
          <w:szCs w:val="32"/>
        </w:rPr>
      </w:pPr>
    </w:p>
    <w:p>
      <w:pPr>
        <w:widowControl/>
        <w:spacing w:line="600" w:lineRule="exact"/>
        <w:ind w:firstLine="640"/>
        <w:jc w:val="center"/>
        <w:rPr>
          <w:rFonts w:hint="eastAsia" w:ascii="宋体" w:hAnsi="宋体"/>
          <w:b/>
          <w:sz w:val="32"/>
          <w:szCs w:val="32"/>
        </w:rPr>
      </w:pPr>
    </w:p>
    <w:p>
      <w:pPr>
        <w:widowControl/>
        <w:spacing w:line="600" w:lineRule="exact"/>
        <w:ind w:firstLine="640"/>
        <w:jc w:val="center"/>
        <w:rPr>
          <w:rFonts w:hint="eastAsia" w:ascii="宋体" w:hAnsi="宋体"/>
          <w:b/>
          <w:sz w:val="32"/>
          <w:szCs w:val="32"/>
        </w:rPr>
      </w:pPr>
    </w:p>
    <w:p>
      <w:pPr>
        <w:widowControl/>
        <w:spacing w:line="600" w:lineRule="exact"/>
        <w:ind w:firstLine="640"/>
        <w:jc w:val="center"/>
        <w:rPr>
          <w:rFonts w:hint="eastAsia" w:ascii="宋体" w:hAnsi="宋体"/>
          <w:b/>
          <w:sz w:val="32"/>
          <w:szCs w:val="32"/>
        </w:rPr>
      </w:pPr>
    </w:p>
    <w:p>
      <w:pPr>
        <w:widowControl/>
        <w:spacing w:line="600" w:lineRule="exact"/>
        <w:ind w:firstLine="640"/>
        <w:jc w:val="center"/>
        <w:rPr>
          <w:rFonts w:hint="eastAsia" w:ascii="宋体" w:hAnsi="宋体"/>
          <w:b/>
          <w:sz w:val="32"/>
          <w:szCs w:val="32"/>
        </w:rPr>
      </w:pPr>
    </w:p>
    <w:p>
      <w:pPr>
        <w:widowControl/>
        <w:spacing w:line="600" w:lineRule="exact"/>
        <w:ind w:firstLine="640"/>
        <w:jc w:val="center"/>
        <w:rPr>
          <w:rFonts w:hint="eastAsia" w:ascii="宋体" w:hAnsi="宋体"/>
          <w:b/>
          <w:sz w:val="32"/>
          <w:szCs w:val="32"/>
        </w:rPr>
      </w:pPr>
    </w:p>
    <w:p>
      <w:pPr>
        <w:widowControl/>
        <w:spacing w:line="600" w:lineRule="exact"/>
        <w:ind w:firstLine="640"/>
        <w:jc w:val="center"/>
        <w:rPr>
          <w:rFonts w:hint="eastAsia" w:ascii="宋体" w:hAnsi="宋体"/>
          <w:b/>
          <w:sz w:val="32"/>
          <w:szCs w:val="32"/>
        </w:rPr>
      </w:pPr>
      <w:r>
        <w:rPr>
          <w:rFonts w:hint="eastAsia" w:ascii="宋体" w:hAnsi="宋体"/>
          <w:b/>
          <w:sz w:val="32"/>
          <w:szCs w:val="32"/>
        </w:rPr>
        <w:t>第二部分  2018年度部门决算表</w:t>
      </w:r>
    </w:p>
    <w:p>
      <w:pPr>
        <w:autoSpaceDE w:val="0"/>
        <w:autoSpaceDN w:val="0"/>
        <w:adjustRightInd w:val="0"/>
        <w:spacing w:line="360" w:lineRule="auto"/>
        <w:jc w:val="left"/>
        <w:rPr>
          <w:rFonts w:hint="eastAsia"/>
          <w:szCs w:val="30"/>
        </w:rPr>
      </w:pPr>
    </w:p>
    <w:p>
      <w:pPr>
        <w:autoSpaceDE w:val="0"/>
        <w:autoSpaceDN w:val="0"/>
        <w:adjustRightInd w:val="0"/>
        <w:spacing w:line="360" w:lineRule="auto"/>
        <w:jc w:val="left"/>
        <w:rPr>
          <w:rFonts w:hint="eastAsia"/>
          <w:szCs w:val="30"/>
        </w:rPr>
      </w:pPr>
      <w:r>
        <w:rPr>
          <w:rFonts w:hint="eastAsia"/>
          <w:szCs w:val="30"/>
        </w:rPr>
        <w:drawing>
          <wp:inline distT="0" distB="0" distL="114300" distR="114300">
            <wp:extent cx="5584825" cy="5448300"/>
            <wp:effectExtent l="0" t="0" r="15875" b="0"/>
            <wp:docPr id="1" name="图片 1" descr="共青城市江益中心卫生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共青城市江益中心卫生院"/>
                    <pic:cNvPicPr>
                      <a:picLocks noChangeAspect="1"/>
                    </pic:cNvPicPr>
                  </pic:nvPicPr>
                  <pic:blipFill>
                    <a:blip r:embed="rId4"/>
                    <a:stretch>
                      <a:fillRect/>
                    </a:stretch>
                  </pic:blipFill>
                  <pic:spPr>
                    <a:xfrm>
                      <a:off x="0" y="0"/>
                      <a:ext cx="5584825" cy="5448300"/>
                    </a:xfrm>
                    <a:prstGeom prst="rect">
                      <a:avLst/>
                    </a:prstGeom>
                    <a:noFill/>
                    <a:ln>
                      <a:noFill/>
                    </a:ln>
                  </pic:spPr>
                </pic:pic>
              </a:graphicData>
            </a:graphic>
          </wp:inline>
        </w:drawing>
      </w:r>
    </w:p>
    <w:p>
      <w:pPr>
        <w:autoSpaceDE w:val="0"/>
        <w:autoSpaceDN w:val="0"/>
        <w:adjustRightInd w:val="0"/>
        <w:spacing w:line="360" w:lineRule="auto"/>
        <w:jc w:val="left"/>
        <w:rPr>
          <w:rFonts w:hint="eastAsia" w:ascii="仿宋" w:hAnsi="仿宋" w:eastAsia="仿宋" w:cs="仿宋_GB2312"/>
          <w:kern w:val="0"/>
          <w:sz w:val="30"/>
          <w:szCs w:val="30"/>
        </w:rPr>
      </w:pPr>
    </w:p>
    <w:p>
      <w:pPr>
        <w:autoSpaceDE w:val="0"/>
        <w:autoSpaceDN w:val="0"/>
        <w:adjustRightInd w:val="0"/>
        <w:spacing w:line="360" w:lineRule="auto"/>
        <w:jc w:val="left"/>
        <w:rPr>
          <w:rFonts w:hint="eastAsia" w:ascii="仿宋" w:hAnsi="仿宋" w:eastAsia="仿宋" w:cs="仿宋_GB2312"/>
          <w:kern w:val="0"/>
          <w:sz w:val="30"/>
          <w:szCs w:val="30"/>
        </w:rPr>
      </w:pPr>
      <w:r>
        <w:rPr>
          <w:rFonts w:hint="eastAsia"/>
          <w:szCs w:val="30"/>
        </w:rPr>
        <w:drawing>
          <wp:anchor distT="0" distB="0" distL="114300" distR="114300" simplePos="0" relativeHeight="251658240" behindDoc="0" locked="0" layoutInCell="1" allowOverlap="1">
            <wp:simplePos x="0" y="0"/>
            <wp:positionH relativeFrom="column">
              <wp:posOffset>-981075</wp:posOffset>
            </wp:positionH>
            <wp:positionV relativeFrom="paragraph">
              <wp:posOffset>-7118985</wp:posOffset>
            </wp:positionV>
            <wp:extent cx="6590030" cy="3491230"/>
            <wp:effectExtent l="0" t="0" r="1270" b="13970"/>
            <wp:wrapSquare wrapText="bothSides"/>
            <wp:docPr id="2" name="图片 2" descr="E:\2019年工作\2018年决算公开\共青城市江益中心卫生院1.jpg共青城市江益中心卫生院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E:\2019年工作\2018年决算公开\共青城市江益中心卫生院1.jpg共青城市江益中心卫生院1"/>
                    <pic:cNvPicPr>
                      <a:picLocks noChangeAspect="1"/>
                    </pic:cNvPicPr>
                  </pic:nvPicPr>
                  <pic:blipFill>
                    <a:blip r:embed="rId5"/>
                    <a:stretch>
                      <a:fillRect/>
                    </a:stretch>
                  </pic:blipFill>
                  <pic:spPr>
                    <a:xfrm>
                      <a:off x="0" y="0"/>
                      <a:ext cx="6590030" cy="3491230"/>
                    </a:xfrm>
                    <a:prstGeom prst="rect">
                      <a:avLst/>
                    </a:prstGeom>
                    <a:noFill/>
                    <a:ln>
                      <a:noFill/>
                    </a:ln>
                  </pic:spPr>
                </pic:pic>
              </a:graphicData>
            </a:graphic>
          </wp:anchor>
        </w:drawing>
      </w:r>
      <w:r>
        <w:rPr>
          <w:rFonts w:hint="eastAsia" w:ascii="仿宋" w:hAnsi="仿宋" w:eastAsia="仿宋" w:cs="仿宋_GB2312"/>
          <w:kern w:val="0"/>
          <w:sz w:val="30"/>
          <w:szCs w:val="30"/>
        </w:rPr>
        <w:t xml:space="preserve"> </w:t>
      </w:r>
    </w:p>
    <w:p>
      <w:pPr>
        <w:autoSpaceDE w:val="0"/>
        <w:autoSpaceDN w:val="0"/>
        <w:adjustRightInd w:val="0"/>
        <w:spacing w:line="360" w:lineRule="auto"/>
        <w:jc w:val="left"/>
        <w:rPr>
          <w:rFonts w:hint="eastAsia" w:ascii="仿宋" w:hAnsi="仿宋" w:eastAsia="仿宋" w:cs="仿宋_GB2312"/>
          <w:kern w:val="0"/>
          <w:sz w:val="30"/>
          <w:szCs w:val="30"/>
        </w:rPr>
      </w:pPr>
    </w:p>
    <w:p>
      <w:pPr>
        <w:autoSpaceDE w:val="0"/>
        <w:autoSpaceDN w:val="0"/>
        <w:adjustRightInd w:val="0"/>
        <w:spacing w:line="360" w:lineRule="auto"/>
        <w:jc w:val="left"/>
        <w:rPr>
          <w:rFonts w:hint="eastAsia"/>
          <w:szCs w:val="30"/>
        </w:rPr>
      </w:pPr>
    </w:p>
    <w:p>
      <w:pPr>
        <w:autoSpaceDE w:val="0"/>
        <w:autoSpaceDN w:val="0"/>
        <w:adjustRightInd w:val="0"/>
        <w:spacing w:line="360" w:lineRule="auto"/>
        <w:jc w:val="left"/>
        <w:rPr>
          <w:rFonts w:hint="eastAsia"/>
          <w:szCs w:val="30"/>
        </w:rPr>
      </w:pPr>
      <w:r>
        <w:rPr>
          <w:rFonts w:hint="eastAsia"/>
          <w:szCs w:val="30"/>
        </w:rPr>
        <w:drawing>
          <wp:anchor distT="0" distB="0" distL="114300" distR="114300" simplePos="0" relativeHeight="251659264" behindDoc="0" locked="0" layoutInCell="1" allowOverlap="1">
            <wp:simplePos x="0" y="0"/>
            <wp:positionH relativeFrom="page">
              <wp:posOffset>171450</wp:posOffset>
            </wp:positionH>
            <wp:positionV relativeFrom="page">
              <wp:posOffset>4868545</wp:posOffset>
            </wp:positionV>
            <wp:extent cx="6348095" cy="3470910"/>
            <wp:effectExtent l="0" t="0" r="14605" b="15240"/>
            <wp:wrapSquare wrapText="bothSides"/>
            <wp:docPr id="3" name="图片 3" descr="E:\2019年工作\2018年决算公开\共青城市江益中心卫生院支出决算表.jpg共青城市江益中心卫生院支出决算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E:\2019年工作\2018年决算公开\共青城市江益中心卫生院支出决算表.jpg共青城市江益中心卫生院支出决算表"/>
                    <pic:cNvPicPr>
                      <a:picLocks noChangeAspect="1"/>
                    </pic:cNvPicPr>
                  </pic:nvPicPr>
                  <pic:blipFill>
                    <a:blip r:embed="rId6"/>
                    <a:stretch>
                      <a:fillRect/>
                    </a:stretch>
                  </pic:blipFill>
                  <pic:spPr>
                    <a:xfrm>
                      <a:off x="0" y="0"/>
                      <a:ext cx="6348095" cy="3470910"/>
                    </a:xfrm>
                    <a:prstGeom prst="rect">
                      <a:avLst/>
                    </a:prstGeom>
                    <a:noFill/>
                    <a:ln>
                      <a:noFill/>
                    </a:ln>
                  </pic:spPr>
                </pic:pic>
              </a:graphicData>
            </a:graphic>
          </wp:anchor>
        </w:drawing>
      </w:r>
    </w:p>
    <w:p>
      <w:pPr>
        <w:autoSpaceDE w:val="0"/>
        <w:autoSpaceDN w:val="0"/>
        <w:adjustRightInd w:val="0"/>
        <w:spacing w:line="360" w:lineRule="auto"/>
        <w:jc w:val="left"/>
        <w:rPr>
          <w:rFonts w:hint="eastAsia" w:ascii="仿宋" w:hAnsi="仿宋" w:eastAsia="仿宋" w:cs="仿宋_GB2312"/>
          <w:kern w:val="0"/>
          <w:sz w:val="30"/>
          <w:szCs w:val="30"/>
        </w:rPr>
      </w:pPr>
      <w:r>
        <w:rPr>
          <w:rFonts w:hint="eastAsia"/>
          <w:szCs w:val="30"/>
        </w:rPr>
        <w:drawing>
          <wp:anchor distT="0" distB="0" distL="114300" distR="114300" simplePos="0" relativeHeight="251661312" behindDoc="0" locked="0" layoutInCell="1" allowOverlap="1">
            <wp:simplePos x="0" y="0"/>
            <wp:positionH relativeFrom="column">
              <wp:posOffset>-561975</wp:posOffset>
            </wp:positionH>
            <wp:positionV relativeFrom="page">
              <wp:posOffset>6247130</wp:posOffset>
            </wp:positionV>
            <wp:extent cx="6393180" cy="4749800"/>
            <wp:effectExtent l="0" t="0" r="7620" b="12700"/>
            <wp:wrapSquare wrapText="bothSides"/>
            <wp:docPr id="4" name="图片 4" descr="E:\2019年工作\2018年决算公开\共青城市江益中心卫生院一般公共预算财政拨款支出决算表.jpg共青城市江益中心卫生院一般公共预算财政拨款支出决算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E:\2019年工作\2018年决算公开\共青城市江益中心卫生院一般公共预算财政拨款支出决算表.jpg共青城市江益中心卫生院一般公共预算财政拨款支出决算表"/>
                    <pic:cNvPicPr>
                      <a:picLocks noChangeAspect="1"/>
                    </pic:cNvPicPr>
                  </pic:nvPicPr>
                  <pic:blipFill>
                    <a:blip r:embed="rId7"/>
                    <a:stretch>
                      <a:fillRect/>
                    </a:stretch>
                  </pic:blipFill>
                  <pic:spPr>
                    <a:xfrm>
                      <a:off x="0" y="0"/>
                      <a:ext cx="6393180" cy="4749800"/>
                    </a:xfrm>
                    <a:prstGeom prst="rect">
                      <a:avLst/>
                    </a:prstGeom>
                    <a:noFill/>
                    <a:ln>
                      <a:noFill/>
                    </a:ln>
                  </pic:spPr>
                </pic:pic>
              </a:graphicData>
            </a:graphic>
          </wp:anchor>
        </w:drawing>
      </w:r>
      <w:r>
        <w:rPr>
          <w:rFonts w:hint="eastAsia"/>
          <w:szCs w:val="30"/>
        </w:rPr>
        <w:drawing>
          <wp:anchor distT="0" distB="0" distL="114300" distR="114300" simplePos="0" relativeHeight="251660288" behindDoc="0" locked="0" layoutInCell="1" allowOverlap="1">
            <wp:simplePos x="0" y="0"/>
            <wp:positionH relativeFrom="column">
              <wp:posOffset>-1048385</wp:posOffset>
            </wp:positionH>
            <wp:positionV relativeFrom="paragraph">
              <wp:posOffset>-8637270</wp:posOffset>
            </wp:positionV>
            <wp:extent cx="6702425" cy="5880100"/>
            <wp:effectExtent l="0" t="0" r="3175" b="6350"/>
            <wp:wrapSquare wrapText="bothSides"/>
            <wp:docPr id="5" name="图片 5" descr="E:\2019年工作\2018年决算公开\共青城市江益中心卫生院财政拨款收入支出决算表.jpg共青城市江益中心卫生院财政拨款收入支出决算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E:\2019年工作\2018年决算公开\共青城市江益中心卫生院财政拨款收入支出决算表.jpg共青城市江益中心卫生院财政拨款收入支出决算表"/>
                    <pic:cNvPicPr>
                      <a:picLocks noChangeAspect="1"/>
                    </pic:cNvPicPr>
                  </pic:nvPicPr>
                  <pic:blipFill>
                    <a:blip r:embed="rId8"/>
                    <a:stretch>
                      <a:fillRect/>
                    </a:stretch>
                  </pic:blipFill>
                  <pic:spPr>
                    <a:xfrm>
                      <a:off x="0" y="0"/>
                      <a:ext cx="6702425" cy="5880100"/>
                    </a:xfrm>
                    <a:prstGeom prst="rect">
                      <a:avLst/>
                    </a:prstGeom>
                    <a:noFill/>
                    <a:ln>
                      <a:noFill/>
                    </a:ln>
                  </pic:spPr>
                </pic:pic>
              </a:graphicData>
            </a:graphic>
          </wp:anchor>
        </w:drawing>
      </w:r>
    </w:p>
    <w:p>
      <w:pPr>
        <w:autoSpaceDE w:val="0"/>
        <w:autoSpaceDN w:val="0"/>
        <w:adjustRightInd w:val="0"/>
        <w:spacing w:line="360" w:lineRule="auto"/>
        <w:jc w:val="left"/>
        <w:rPr>
          <w:rFonts w:hint="eastAsia" w:ascii="仿宋" w:hAnsi="仿宋" w:eastAsia="仿宋" w:cs="仿宋_GB2312"/>
          <w:kern w:val="0"/>
          <w:sz w:val="30"/>
          <w:szCs w:val="30"/>
        </w:rPr>
      </w:pPr>
      <w:r>
        <w:rPr>
          <w:rFonts w:hint="eastAsia"/>
          <w:szCs w:val="30"/>
        </w:rPr>
        <w:drawing>
          <wp:anchor distT="0" distB="0" distL="114300" distR="114300" simplePos="0" relativeHeight="251662336" behindDoc="0" locked="0" layoutInCell="1" allowOverlap="1">
            <wp:simplePos x="0" y="0"/>
            <wp:positionH relativeFrom="column">
              <wp:posOffset>-476250</wp:posOffset>
            </wp:positionH>
            <wp:positionV relativeFrom="page">
              <wp:posOffset>361950</wp:posOffset>
            </wp:positionV>
            <wp:extent cx="5824855" cy="9841230"/>
            <wp:effectExtent l="0" t="0" r="4445" b="7620"/>
            <wp:wrapSquare wrapText="bothSides"/>
            <wp:docPr id="6" name="图片 6" descr="E:\2019年工作\2018年决算公开\共青城市江益中心卫生院一般公共预算财政拨款基本支出决算表.jpg共青城市江益中心卫生院一般公共预算财政拨款基本支出决算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2019年工作\2018年决算公开\共青城市江益中心卫生院一般公共预算财政拨款基本支出决算表.jpg共青城市江益中心卫生院一般公共预算财政拨款基本支出决算表"/>
                    <pic:cNvPicPr>
                      <a:picLocks noChangeAspect="1"/>
                    </pic:cNvPicPr>
                  </pic:nvPicPr>
                  <pic:blipFill>
                    <a:blip r:embed="rId9"/>
                    <a:stretch>
                      <a:fillRect/>
                    </a:stretch>
                  </pic:blipFill>
                  <pic:spPr>
                    <a:xfrm>
                      <a:off x="0" y="0"/>
                      <a:ext cx="5824855" cy="9841230"/>
                    </a:xfrm>
                    <a:prstGeom prst="rect">
                      <a:avLst/>
                    </a:prstGeom>
                    <a:noFill/>
                    <a:ln>
                      <a:noFill/>
                    </a:ln>
                  </pic:spPr>
                </pic:pic>
              </a:graphicData>
            </a:graphic>
          </wp:anchor>
        </w:drawing>
      </w:r>
    </w:p>
    <w:p>
      <w:pPr>
        <w:autoSpaceDE w:val="0"/>
        <w:autoSpaceDN w:val="0"/>
        <w:adjustRightInd w:val="0"/>
        <w:spacing w:line="360" w:lineRule="auto"/>
        <w:jc w:val="left"/>
        <w:rPr>
          <w:rFonts w:hint="eastAsia"/>
          <w:szCs w:val="30"/>
        </w:rPr>
      </w:pPr>
    </w:p>
    <w:p>
      <w:pPr>
        <w:autoSpaceDE w:val="0"/>
        <w:autoSpaceDN w:val="0"/>
        <w:adjustRightInd w:val="0"/>
        <w:spacing w:line="360" w:lineRule="auto"/>
        <w:jc w:val="left"/>
        <w:rPr>
          <w:rFonts w:hint="eastAsia"/>
          <w:szCs w:val="30"/>
        </w:rPr>
      </w:pPr>
    </w:p>
    <w:p>
      <w:pPr>
        <w:autoSpaceDE w:val="0"/>
        <w:autoSpaceDN w:val="0"/>
        <w:adjustRightInd w:val="0"/>
        <w:spacing w:line="360" w:lineRule="auto"/>
        <w:jc w:val="left"/>
        <w:rPr>
          <w:rFonts w:hint="eastAsia"/>
          <w:szCs w:val="30"/>
        </w:rPr>
      </w:pPr>
      <w:r>
        <w:rPr>
          <w:rFonts w:hint="eastAsia"/>
          <w:szCs w:val="30"/>
        </w:rPr>
        <w:drawing>
          <wp:inline distT="0" distB="0" distL="114300" distR="114300">
            <wp:extent cx="5554980" cy="5625465"/>
            <wp:effectExtent l="0" t="0" r="7620" b="13335"/>
            <wp:docPr id="7" name="图片 2" descr="E:\2019年工作\2018年决算公开\共青城市江益中心卫生院三公经费.jpg共青城市江益中心卫生院三公经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descr="E:\2019年工作\2018年决算公开\共青城市江益中心卫生院三公经费.jpg共青城市江益中心卫生院三公经费"/>
                    <pic:cNvPicPr>
                      <a:picLocks noChangeAspect="1"/>
                    </pic:cNvPicPr>
                  </pic:nvPicPr>
                  <pic:blipFill>
                    <a:blip r:embed="rId10"/>
                    <a:stretch>
                      <a:fillRect/>
                    </a:stretch>
                  </pic:blipFill>
                  <pic:spPr>
                    <a:xfrm>
                      <a:off x="0" y="0"/>
                      <a:ext cx="5554980" cy="5625465"/>
                    </a:xfrm>
                    <a:prstGeom prst="rect">
                      <a:avLst/>
                    </a:prstGeom>
                    <a:noFill/>
                    <a:ln>
                      <a:noFill/>
                    </a:ln>
                  </pic:spPr>
                </pic:pic>
              </a:graphicData>
            </a:graphic>
          </wp:inline>
        </w:drawing>
      </w:r>
    </w:p>
    <w:p>
      <w:pPr>
        <w:autoSpaceDE w:val="0"/>
        <w:autoSpaceDN w:val="0"/>
        <w:adjustRightInd w:val="0"/>
        <w:spacing w:line="360" w:lineRule="auto"/>
        <w:jc w:val="left"/>
        <w:rPr>
          <w:rFonts w:hint="eastAsia"/>
          <w:szCs w:val="30"/>
        </w:rPr>
      </w:pPr>
    </w:p>
    <w:p>
      <w:pPr>
        <w:autoSpaceDE w:val="0"/>
        <w:autoSpaceDN w:val="0"/>
        <w:adjustRightInd w:val="0"/>
        <w:spacing w:line="360" w:lineRule="auto"/>
        <w:jc w:val="left"/>
        <w:rPr>
          <w:rFonts w:hint="eastAsia"/>
          <w:szCs w:val="30"/>
        </w:rPr>
      </w:pPr>
    </w:p>
    <w:p>
      <w:pPr>
        <w:autoSpaceDE w:val="0"/>
        <w:autoSpaceDN w:val="0"/>
        <w:adjustRightInd w:val="0"/>
        <w:spacing w:line="360" w:lineRule="auto"/>
        <w:jc w:val="left"/>
        <w:rPr>
          <w:rFonts w:hint="eastAsia"/>
          <w:szCs w:val="30"/>
        </w:rPr>
      </w:pPr>
    </w:p>
    <w:p>
      <w:pPr>
        <w:autoSpaceDE w:val="0"/>
        <w:autoSpaceDN w:val="0"/>
        <w:adjustRightInd w:val="0"/>
        <w:spacing w:line="360" w:lineRule="auto"/>
        <w:jc w:val="left"/>
        <w:rPr>
          <w:rFonts w:hint="eastAsia"/>
          <w:szCs w:val="30"/>
        </w:rPr>
      </w:pPr>
    </w:p>
    <w:p>
      <w:pPr>
        <w:autoSpaceDE w:val="0"/>
        <w:autoSpaceDN w:val="0"/>
        <w:adjustRightInd w:val="0"/>
        <w:spacing w:line="360" w:lineRule="auto"/>
        <w:jc w:val="left"/>
        <w:rPr>
          <w:rFonts w:hint="eastAsia"/>
          <w:szCs w:val="30"/>
        </w:rPr>
      </w:pPr>
      <w:r>
        <w:rPr>
          <w:rFonts w:hint="eastAsia"/>
          <w:szCs w:val="30"/>
        </w:rPr>
        <w:drawing>
          <wp:inline distT="0" distB="0" distL="114300" distR="114300">
            <wp:extent cx="5270500" cy="2127250"/>
            <wp:effectExtent l="0" t="0" r="6350" b="0"/>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11"/>
                    <a:stretch>
                      <a:fillRect/>
                    </a:stretch>
                  </pic:blipFill>
                  <pic:spPr>
                    <a:xfrm>
                      <a:off x="0" y="0"/>
                      <a:ext cx="5270500" cy="2127250"/>
                    </a:xfrm>
                    <a:prstGeom prst="rect">
                      <a:avLst/>
                    </a:prstGeom>
                    <a:noFill/>
                    <a:ln>
                      <a:noFill/>
                    </a:ln>
                  </pic:spPr>
                </pic:pic>
              </a:graphicData>
            </a:graphic>
          </wp:inline>
        </w:drawing>
      </w:r>
    </w:p>
    <w:p>
      <w:pPr>
        <w:autoSpaceDE w:val="0"/>
        <w:autoSpaceDN w:val="0"/>
        <w:adjustRightInd w:val="0"/>
        <w:spacing w:line="360" w:lineRule="auto"/>
        <w:jc w:val="left"/>
        <w:rPr>
          <w:rFonts w:hint="eastAsia"/>
          <w:szCs w:val="30"/>
        </w:rPr>
      </w:pPr>
    </w:p>
    <w:p>
      <w:pPr>
        <w:autoSpaceDE w:val="0"/>
        <w:autoSpaceDN w:val="0"/>
        <w:adjustRightInd w:val="0"/>
        <w:spacing w:line="360" w:lineRule="auto"/>
        <w:jc w:val="left"/>
        <w:rPr>
          <w:rFonts w:hint="eastAsia" w:ascii="仿宋" w:hAnsi="仿宋" w:eastAsia="仿宋" w:cs="仿宋_GB2312"/>
          <w:kern w:val="0"/>
          <w:sz w:val="30"/>
          <w:szCs w:val="30"/>
        </w:rPr>
      </w:pPr>
      <w:r>
        <w:rPr>
          <w:rFonts w:hint="eastAsia"/>
          <w:szCs w:val="30"/>
        </w:rPr>
        <w:drawing>
          <wp:inline distT="0" distB="0" distL="114300" distR="114300">
            <wp:extent cx="5584190" cy="3437890"/>
            <wp:effectExtent l="0" t="0" r="16510" b="10160"/>
            <wp:docPr id="9" name="图片 4" descr="E:\2019年工作\2018年决算公开\共青城市江益中心卫生院国有资产占用.jpg共青城市江益中心卫生院国有资产占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descr="E:\2019年工作\2018年决算公开\共青城市江益中心卫生院国有资产占用.jpg共青城市江益中心卫生院国有资产占用"/>
                    <pic:cNvPicPr>
                      <a:picLocks noChangeAspect="1"/>
                    </pic:cNvPicPr>
                  </pic:nvPicPr>
                  <pic:blipFill>
                    <a:blip r:embed="rId12"/>
                    <a:stretch>
                      <a:fillRect/>
                    </a:stretch>
                  </pic:blipFill>
                  <pic:spPr>
                    <a:xfrm>
                      <a:off x="0" y="0"/>
                      <a:ext cx="5584190" cy="3437890"/>
                    </a:xfrm>
                    <a:prstGeom prst="rect">
                      <a:avLst/>
                    </a:prstGeom>
                    <a:noFill/>
                    <a:ln>
                      <a:noFill/>
                    </a:ln>
                  </pic:spPr>
                </pic:pic>
              </a:graphicData>
            </a:graphic>
          </wp:inline>
        </w:drawing>
      </w:r>
    </w:p>
    <w:p>
      <w:pPr>
        <w:widowControl/>
        <w:spacing w:line="600" w:lineRule="exact"/>
        <w:ind w:firstLine="640"/>
        <w:jc w:val="center"/>
        <w:rPr>
          <w:rFonts w:hint="eastAsia" w:ascii="宋体" w:hAnsi="宋体"/>
          <w:b/>
          <w:sz w:val="32"/>
          <w:szCs w:val="32"/>
        </w:rPr>
      </w:pPr>
    </w:p>
    <w:p>
      <w:pPr>
        <w:widowControl/>
        <w:spacing w:line="600" w:lineRule="exact"/>
        <w:ind w:firstLine="640"/>
        <w:jc w:val="center"/>
        <w:rPr>
          <w:rFonts w:hint="eastAsia" w:ascii="宋体" w:hAnsi="宋体"/>
          <w:b/>
          <w:sz w:val="32"/>
          <w:szCs w:val="32"/>
        </w:rPr>
      </w:pPr>
      <w:r>
        <w:rPr>
          <w:rFonts w:hint="eastAsia" w:ascii="宋体" w:hAnsi="宋体"/>
          <w:b/>
          <w:sz w:val="32"/>
          <w:szCs w:val="32"/>
        </w:rPr>
        <w:t>第三部分  2018年度部门决算情况说明</w:t>
      </w:r>
    </w:p>
    <w:p>
      <w:pPr>
        <w:ind w:firstLine="630"/>
        <w:jc w:val="left"/>
        <w:rPr>
          <w:rFonts w:hint="eastAsia" w:ascii="仿宋" w:hAnsi="仿宋" w:eastAsia="仿宋"/>
          <w:sz w:val="30"/>
          <w:szCs w:val="30"/>
        </w:rPr>
      </w:pPr>
    </w:p>
    <w:p>
      <w:pPr>
        <w:ind w:firstLine="630"/>
        <w:jc w:val="left"/>
        <w:rPr>
          <w:rFonts w:hint="eastAsia" w:ascii="黑体" w:hAnsi="黑体" w:eastAsia="黑体"/>
          <w:sz w:val="30"/>
          <w:szCs w:val="30"/>
        </w:rPr>
      </w:pPr>
      <w:r>
        <w:rPr>
          <w:rFonts w:hint="eastAsia" w:ascii="黑体" w:hAnsi="黑体" w:eastAsia="黑体"/>
          <w:sz w:val="30"/>
          <w:szCs w:val="30"/>
        </w:rPr>
        <w:t>一、收入决算情况说明</w:t>
      </w:r>
    </w:p>
    <w:p>
      <w:pPr>
        <w:ind w:firstLine="630"/>
        <w:jc w:val="left"/>
        <w:rPr>
          <w:rFonts w:hint="eastAsia" w:ascii="仿宋" w:hAnsi="仿宋" w:eastAsia="仿宋"/>
          <w:sz w:val="30"/>
          <w:szCs w:val="30"/>
        </w:rPr>
      </w:pPr>
      <w:r>
        <w:rPr>
          <w:rFonts w:hint="eastAsia" w:ascii="仿宋" w:hAnsi="仿宋" w:eastAsia="仿宋"/>
          <w:sz w:val="30"/>
          <w:szCs w:val="30"/>
        </w:rPr>
        <w:t>本部门2018年度收入总计430.32万元，其中年初结转和结余0万元，较2017年增加55.3万元，增长13%；用事业基金弥补</w:t>
      </w:r>
      <w:r>
        <w:rPr>
          <w:rFonts w:hint="eastAsia" w:ascii="仿宋" w:hAnsi="仿宋"/>
          <w:sz w:val="30"/>
          <w:szCs w:val="30"/>
        </w:rPr>
        <w:t>收支差额56.26</w:t>
      </w:r>
      <w:r>
        <w:rPr>
          <w:rFonts w:hint="eastAsia" w:ascii="仿宋" w:hAnsi="仿宋" w:eastAsia="仿宋"/>
          <w:sz w:val="30"/>
          <w:szCs w:val="30"/>
        </w:rPr>
        <w:t>万元，本年收入合计374.06万元，较2017年减少0.96万元，增长0.2 %，主要原因是：拆迁所致事业收入减少。</w:t>
      </w:r>
    </w:p>
    <w:p>
      <w:pPr>
        <w:ind w:firstLine="630"/>
        <w:jc w:val="left"/>
        <w:rPr>
          <w:rFonts w:hint="eastAsia" w:ascii="仿宋" w:hAnsi="仿宋" w:eastAsia="仿宋"/>
          <w:sz w:val="30"/>
          <w:szCs w:val="30"/>
        </w:rPr>
      </w:pPr>
      <w:r>
        <w:rPr>
          <w:rFonts w:hint="eastAsia" w:ascii="仿宋" w:hAnsi="仿宋" w:eastAsia="仿宋"/>
          <w:sz w:val="30"/>
          <w:szCs w:val="30"/>
        </w:rPr>
        <w:t xml:space="preserve">本年收入的具体构成为：财拨款收入197.85万元，占53%；事业收入176.21万元，占52%；经营收入0万元，占0%；其他收入0万元，占0%。  </w:t>
      </w:r>
    </w:p>
    <w:p>
      <w:pPr>
        <w:ind w:firstLine="630"/>
        <w:jc w:val="left"/>
        <w:rPr>
          <w:rFonts w:hint="eastAsia" w:ascii="黑体" w:hAnsi="黑体" w:eastAsia="黑体"/>
          <w:sz w:val="30"/>
          <w:szCs w:val="30"/>
        </w:rPr>
      </w:pPr>
      <w:r>
        <w:rPr>
          <w:rFonts w:hint="eastAsia" w:ascii="黑体" w:hAnsi="黑体" w:eastAsia="黑体"/>
          <w:sz w:val="30"/>
          <w:szCs w:val="30"/>
        </w:rPr>
        <w:t>二、支出决算情况说明</w:t>
      </w:r>
    </w:p>
    <w:p>
      <w:pPr>
        <w:ind w:firstLine="630"/>
        <w:jc w:val="left"/>
        <w:rPr>
          <w:rFonts w:hint="eastAsia" w:ascii="仿宋" w:hAnsi="仿宋" w:eastAsia="仿宋"/>
          <w:sz w:val="30"/>
          <w:szCs w:val="30"/>
        </w:rPr>
      </w:pPr>
      <w:r>
        <w:rPr>
          <w:rFonts w:hint="eastAsia" w:ascii="仿宋" w:hAnsi="仿宋" w:eastAsia="仿宋"/>
          <w:sz w:val="30"/>
          <w:szCs w:val="30"/>
        </w:rPr>
        <w:t>本部门2018年度支出总计385.75万元，其中本年支出合计385.75 万元，较2017年增加10.73万元，增长2 %，主要原因是：人员经费增长；年末结转和结余38.28万元，较2017年增加38.28万元，增长100%，主要原因是：增收节支。</w:t>
      </w:r>
    </w:p>
    <w:p>
      <w:pPr>
        <w:ind w:firstLine="630"/>
        <w:jc w:val="left"/>
        <w:rPr>
          <w:rFonts w:hint="eastAsia" w:ascii="仿宋" w:hAnsi="仿宋" w:eastAsia="仿宋"/>
          <w:sz w:val="30"/>
          <w:szCs w:val="30"/>
        </w:rPr>
      </w:pPr>
      <w:r>
        <w:rPr>
          <w:rFonts w:hint="eastAsia" w:ascii="仿宋" w:hAnsi="仿宋" w:eastAsia="仿宋"/>
          <w:sz w:val="30"/>
          <w:szCs w:val="30"/>
        </w:rPr>
        <w:t>本年支出的具体构成为：基本支出385.75万元，占100%；项目支出0万元，占0%；经营支出0万元，占0%；其他支出（对附属单位补助支出、上缴上级支出）0万元，占0 %。</w:t>
      </w:r>
    </w:p>
    <w:p>
      <w:pPr>
        <w:ind w:firstLine="630"/>
        <w:jc w:val="left"/>
        <w:rPr>
          <w:rFonts w:hint="eastAsia" w:ascii="黑体" w:hAnsi="黑体" w:eastAsia="黑体"/>
          <w:sz w:val="30"/>
          <w:szCs w:val="30"/>
        </w:rPr>
      </w:pPr>
      <w:r>
        <w:rPr>
          <w:rFonts w:hint="eastAsia" w:ascii="黑体" w:hAnsi="黑体" w:eastAsia="黑体"/>
          <w:sz w:val="30"/>
          <w:szCs w:val="30"/>
        </w:rPr>
        <w:t>三、财政拨款支出决算情况说明</w:t>
      </w:r>
    </w:p>
    <w:p>
      <w:pPr>
        <w:ind w:firstLine="630"/>
        <w:jc w:val="left"/>
        <w:rPr>
          <w:rFonts w:hint="eastAsia" w:ascii="仿宋" w:hAnsi="仿宋" w:eastAsia="仿宋"/>
          <w:sz w:val="30"/>
          <w:szCs w:val="30"/>
        </w:rPr>
      </w:pPr>
      <w:r>
        <w:rPr>
          <w:rFonts w:hint="eastAsia" w:ascii="仿宋" w:hAnsi="仿宋" w:eastAsia="仿宋"/>
          <w:sz w:val="30"/>
          <w:szCs w:val="30"/>
        </w:rPr>
        <w:t>本部门2018年度财政拨款本年支出年初预算数为107.21万元，决算数为197.85万元，完成年初预算的185%。其中：</w:t>
      </w:r>
    </w:p>
    <w:p>
      <w:pPr>
        <w:numPr>
          <w:ilvl w:val="0"/>
          <w:numId w:val="1"/>
        </w:numPr>
        <w:ind w:firstLine="630"/>
        <w:jc w:val="left"/>
        <w:rPr>
          <w:rFonts w:hint="eastAsia" w:ascii="仿宋" w:hAnsi="仿宋" w:eastAsia="仿宋"/>
          <w:sz w:val="30"/>
          <w:szCs w:val="30"/>
        </w:rPr>
      </w:pPr>
      <w:r>
        <w:rPr>
          <w:rFonts w:hint="eastAsia" w:ascii="仿宋" w:hAnsi="仿宋"/>
          <w:sz w:val="30"/>
          <w:szCs w:val="30"/>
        </w:rPr>
        <w:t>社会保障和就业</w:t>
      </w:r>
      <w:r>
        <w:rPr>
          <w:rFonts w:hint="eastAsia" w:ascii="仿宋" w:hAnsi="仿宋" w:eastAsia="仿宋"/>
          <w:sz w:val="30"/>
          <w:szCs w:val="30"/>
        </w:rPr>
        <w:t>支出年初预算数为14.68万元，决算数为14.49万元，完成年初预算的99%，主要原因是：人员经费变动。</w:t>
      </w:r>
    </w:p>
    <w:p>
      <w:pPr>
        <w:ind w:firstLine="600" w:firstLineChars="200"/>
        <w:jc w:val="left"/>
        <w:rPr>
          <w:rFonts w:hint="eastAsia" w:ascii="仿宋" w:hAnsi="仿宋" w:eastAsia="仿宋"/>
          <w:sz w:val="30"/>
          <w:szCs w:val="30"/>
        </w:rPr>
      </w:pPr>
      <w:r>
        <w:rPr>
          <w:rFonts w:hint="eastAsia" w:ascii="仿宋" w:hAnsi="仿宋" w:eastAsia="仿宋"/>
          <w:sz w:val="30"/>
          <w:szCs w:val="30"/>
        </w:rPr>
        <w:t>（二）</w:t>
      </w:r>
      <w:r>
        <w:rPr>
          <w:rFonts w:hint="eastAsia" w:ascii="仿宋" w:hAnsi="仿宋"/>
          <w:sz w:val="30"/>
          <w:szCs w:val="30"/>
        </w:rPr>
        <w:t>医疗卫生和计划生育</w:t>
      </w:r>
      <w:r>
        <w:rPr>
          <w:rFonts w:hint="eastAsia" w:ascii="仿宋" w:hAnsi="仿宋" w:eastAsia="仿宋"/>
          <w:sz w:val="30"/>
          <w:szCs w:val="30"/>
        </w:rPr>
        <w:t>支出年初预算数为378.40元，决算数为361.73万元，完成年初预算的96%，主要原因是：人员经费变动。</w:t>
      </w:r>
    </w:p>
    <w:p>
      <w:pPr>
        <w:ind w:firstLine="630"/>
        <w:jc w:val="left"/>
        <w:rPr>
          <w:rFonts w:hint="eastAsia" w:ascii="仿宋" w:hAnsi="仿宋"/>
          <w:sz w:val="30"/>
          <w:szCs w:val="30"/>
        </w:rPr>
      </w:pPr>
      <w:r>
        <w:rPr>
          <w:rFonts w:hint="eastAsia" w:ascii="仿宋" w:hAnsi="仿宋" w:eastAsia="仿宋"/>
          <w:sz w:val="30"/>
          <w:szCs w:val="30"/>
        </w:rPr>
        <w:t>（</w:t>
      </w:r>
      <w:r>
        <w:rPr>
          <w:rFonts w:hint="eastAsia" w:ascii="仿宋" w:hAnsi="仿宋"/>
          <w:sz w:val="30"/>
          <w:szCs w:val="30"/>
        </w:rPr>
        <w:t>三</w:t>
      </w:r>
      <w:r>
        <w:rPr>
          <w:rFonts w:hint="eastAsia" w:ascii="仿宋" w:hAnsi="仿宋" w:eastAsia="仿宋"/>
          <w:sz w:val="30"/>
          <w:szCs w:val="30"/>
        </w:rPr>
        <w:t>）</w:t>
      </w:r>
      <w:r>
        <w:rPr>
          <w:rFonts w:hint="eastAsia" w:ascii="仿宋" w:hAnsi="仿宋"/>
          <w:sz w:val="30"/>
          <w:szCs w:val="30"/>
        </w:rPr>
        <w:t>住房保障</w:t>
      </w:r>
      <w:r>
        <w:rPr>
          <w:rFonts w:hint="eastAsia" w:ascii="仿宋" w:hAnsi="仿宋" w:eastAsia="仿宋"/>
          <w:sz w:val="30"/>
          <w:szCs w:val="30"/>
        </w:rPr>
        <w:t>支出年初预算数为12.54万元，决算数为9.54万元，完成年初预算的76%，主要原因是：人员经费变动。</w:t>
      </w:r>
    </w:p>
    <w:p>
      <w:pPr>
        <w:ind w:firstLine="585"/>
        <w:jc w:val="left"/>
        <w:rPr>
          <w:rFonts w:hint="eastAsia" w:ascii="黑体" w:hAnsi="黑体" w:eastAsia="黑体"/>
          <w:sz w:val="30"/>
          <w:szCs w:val="30"/>
        </w:rPr>
      </w:pPr>
      <w:r>
        <w:rPr>
          <w:rFonts w:hint="eastAsia" w:ascii="黑体" w:hAnsi="黑体" w:eastAsia="黑体"/>
          <w:sz w:val="30"/>
          <w:szCs w:val="30"/>
        </w:rPr>
        <w:t>四、一般公共预算财政拨款基本支出决算情况说明</w:t>
      </w:r>
    </w:p>
    <w:p>
      <w:pPr>
        <w:ind w:firstLine="585"/>
        <w:jc w:val="left"/>
        <w:rPr>
          <w:rFonts w:hint="eastAsia" w:ascii="仿宋" w:hAnsi="仿宋" w:eastAsia="仿宋"/>
          <w:sz w:val="30"/>
          <w:szCs w:val="30"/>
        </w:rPr>
      </w:pPr>
      <w:r>
        <w:rPr>
          <w:rFonts w:hint="eastAsia" w:ascii="仿宋" w:hAnsi="仿宋" w:eastAsia="仿宋"/>
          <w:sz w:val="30"/>
          <w:szCs w:val="30"/>
        </w:rPr>
        <w:t>本部门2018年度一般公共预算财政拨款基本支出159.57万元，其中：</w:t>
      </w:r>
    </w:p>
    <w:p>
      <w:pPr>
        <w:ind w:firstLine="585"/>
        <w:jc w:val="left"/>
        <w:rPr>
          <w:rFonts w:hint="eastAsia" w:ascii="仿宋" w:hAnsi="仿宋" w:eastAsia="仿宋"/>
          <w:sz w:val="30"/>
          <w:szCs w:val="30"/>
        </w:rPr>
      </w:pPr>
      <w:r>
        <w:rPr>
          <w:rFonts w:hint="eastAsia" w:ascii="仿宋" w:hAnsi="仿宋" w:eastAsia="仿宋"/>
          <w:sz w:val="30"/>
          <w:szCs w:val="30"/>
        </w:rPr>
        <w:t>（一）工资福利支出122.45万元，较2017年增加28.07万元，增长23 %，主要原因是：财政拨款人员经费增加。</w:t>
      </w:r>
    </w:p>
    <w:p>
      <w:pPr>
        <w:ind w:firstLine="585"/>
        <w:jc w:val="left"/>
        <w:rPr>
          <w:rFonts w:hint="eastAsia" w:ascii="仿宋" w:hAnsi="仿宋" w:eastAsia="仿宋"/>
          <w:sz w:val="30"/>
          <w:szCs w:val="30"/>
        </w:rPr>
      </w:pPr>
      <w:r>
        <w:rPr>
          <w:rFonts w:hint="eastAsia" w:ascii="仿宋" w:hAnsi="仿宋" w:eastAsia="仿宋"/>
          <w:sz w:val="30"/>
          <w:szCs w:val="30"/>
        </w:rPr>
        <w:t>（二）商品和服务支出3.70万元，较2017年增加2.33  万元，增长63%，主要原因是：财政拨款支出增加。</w:t>
      </w:r>
    </w:p>
    <w:p>
      <w:pPr>
        <w:ind w:firstLine="585"/>
        <w:jc w:val="left"/>
        <w:rPr>
          <w:rFonts w:hint="eastAsia" w:ascii="仿宋" w:hAnsi="仿宋" w:eastAsia="仿宋"/>
          <w:sz w:val="30"/>
          <w:szCs w:val="30"/>
        </w:rPr>
      </w:pPr>
      <w:r>
        <w:rPr>
          <w:rFonts w:hint="eastAsia" w:ascii="仿宋" w:hAnsi="仿宋" w:eastAsia="仿宋"/>
          <w:sz w:val="30"/>
          <w:szCs w:val="30"/>
        </w:rPr>
        <w:t>（三）对个人和家庭补助支出33.42万元，较2017年增加25.22万元，增长75 %，主要原因是：发放奖励性工资。</w:t>
      </w:r>
    </w:p>
    <w:p>
      <w:pPr>
        <w:ind w:firstLine="585"/>
        <w:jc w:val="left"/>
        <w:rPr>
          <w:rFonts w:hint="eastAsia" w:ascii="仿宋" w:hAnsi="仿宋" w:eastAsia="仿宋"/>
          <w:sz w:val="30"/>
          <w:szCs w:val="30"/>
        </w:rPr>
      </w:pPr>
      <w:r>
        <w:rPr>
          <w:rFonts w:hint="eastAsia" w:ascii="仿宋" w:hAnsi="仿宋" w:eastAsia="仿宋"/>
          <w:sz w:val="30"/>
          <w:szCs w:val="30"/>
        </w:rPr>
        <w:t>（四）资本性支出0万元，较2017年增加（减少）0万元，增长（下降）0 %，主要原因是：</w:t>
      </w:r>
      <w:r>
        <w:rPr>
          <w:rFonts w:hint="eastAsia" w:ascii="仿宋" w:hAnsi="仿宋"/>
          <w:sz w:val="30"/>
          <w:szCs w:val="30"/>
        </w:rPr>
        <w:t>无其他资本性支出</w:t>
      </w:r>
      <w:r>
        <w:rPr>
          <w:rFonts w:hint="eastAsia" w:ascii="仿宋" w:hAnsi="仿宋" w:eastAsia="仿宋"/>
          <w:sz w:val="30"/>
          <w:szCs w:val="30"/>
        </w:rPr>
        <w:t>。</w:t>
      </w:r>
    </w:p>
    <w:p>
      <w:pPr>
        <w:ind w:firstLine="630"/>
        <w:jc w:val="left"/>
        <w:rPr>
          <w:rFonts w:hint="eastAsia" w:ascii="黑体" w:hAnsi="黑体" w:eastAsia="黑体"/>
          <w:sz w:val="30"/>
          <w:szCs w:val="30"/>
        </w:rPr>
      </w:pPr>
      <w:r>
        <w:rPr>
          <w:rFonts w:hint="eastAsia" w:ascii="黑体" w:hAnsi="黑体" w:eastAsia="黑体"/>
          <w:sz w:val="30"/>
          <w:szCs w:val="30"/>
        </w:rPr>
        <w:t>五、一般公共预算财政拨款“三公”经费支出决算情况说明</w:t>
      </w:r>
    </w:p>
    <w:p>
      <w:pPr>
        <w:ind w:firstLine="630"/>
        <w:jc w:val="left"/>
        <w:rPr>
          <w:rFonts w:hint="eastAsia" w:ascii="仿宋" w:hAnsi="仿宋" w:eastAsia="仿宋"/>
          <w:sz w:val="30"/>
          <w:szCs w:val="30"/>
        </w:rPr>
      </w:pPr>
      <w:r>
        <w:rPr>
          <w:rFonts w:hint="eastAsia" w:ascii="仿宋" w:hAnsi="仿宋" w:eastAsia="仿宋"/>
          <w:sz w:val="30"/>
          <w:szCs w:val="30"/>
        </w:rPr>
        <w:t>本部门2018年度一般公共预算财政拨款“三公”经费支出年初预算数为5万元，决算数为0万元，完成预算的0%，决算数较2017年增加0万元，增长0 %，其中：</w:t>
      </w:r>
    </w:p>
    <w:p>
      <w:pPr>
        <w:ind w:firstLine="630"/>
        <w:jc w:val="left"/>
        <w:rPr>
          <w:rFonts w:hint="eastAsia" w:ascii="仿宋" w:hAnsi="仿宋" w:eastAsia="仿宋"/>
          <w:sz w:val="30"/>
          <w:szCs w:val="30"/>
        </w:rPr>
      </w:pPr>
      <w:r>
        <w:rPr>
          <w:rFonts w:hint="eastAsia" w:ascii="仿宋" w:hAnsi="仿宋" w:eastAsia="仿宋"/>
          <w:sz w:val="30"/>
          <w:szCs w:val="30"/>
        </w:rPr>
        <w:t>（一）因公出国（境）支出年初预算数为0万元，决算数为0  万元，完成预算的0%，决算数较2017年增加（减少）0 万元，增长（下降）0 %。决算数较年初预算数增加（减少）的主要原因是：无因公出国（境）费用。</w:t>
      </w:r>
    </w:p>
    <w:p>
      <w:pPr>
        <w:ind w:firstLine="630"/>
        <w:jc w:val="left"/>
        <w:rPr>
          <w:rFonts w:hint="eastAsia" w:ascii="仿宋" w:hAnsi="仿宋" w:eastAsia="仿宋"/>
          <w:sz w:val="30"/>
          <w:szCs w:val="30"/>
        </w:rPr>
      </w:pPr>
      <w:r>
        <w:rPr>
          <w:rFonts w:hint="eastAsia" w:ascii="仿宋" w:hAnsi="仿宋" w:eastAsia="仿宋"/>
          <w:sz w:val="30"/>
          <w:szCs w:val="30"/>
        </w:rPr>
        <w:t>（二）公务接待费支出年初预算数为2.4万元，决算数为0  万元，完成预算的0%，决算数较2017年增加0万元，增长0 %。决算数较年初预算数增加（减少）的主要原因是：</w:t>
      </w:r>
      <w:r>
        <w:rPr>
          <w:rFonts w:hint="eastAsia" w:ascii="仿宋" w:hAnsi="仿宋"/>
          <w:sz w:val="30"/>
          <w:szCs w:val="30"/>
        </w:rPr>
        <w:t>无</w:t>
      </w:r>
      <w:r>
        <w:rPr>
          <w:rFonts w:hint="eastAsia" w:ascii="仿宋" w:hAnsi="仿宋" w:eastAsia="仿宋"/>
          <w:sz w:val="30"/>
          <w:szCs w:val="30"/>
        </w:rPr>
        <w:t>公务接待费支出。</w:t>
      </w:r>
    </w:p>
    <w:p>
      <w:pPr>
        <w:ind w:firstLine="630"/>
        <w:jc w:val="left"/>
        <w:rPr>
          <w:rFonts w:hint="eastAsia" w:ascii="仿宋" w:hAnsi="仿宋" w:eastAsia="仿宋"/>
          <w:sz w:val="30"/>
          <w:szCs w:val="30"/>
        </w:rPr>
      </w:pPr>
      <w:r>
        <w:rPr>
          <w:rFonts w:hint="eastAsia" w:ascii="仿宋" w:hAnsi="仿宋" w:eastAsia="仿宋"/>
          <w:sz w:val="30"/>
          <w:szCs w:val="30"/>
        </w:rPr>
        <w:t>（三）公务用车购置及运行维护费支出2.6万元，其中公务用车购置年初预算数为0万元，决算数为0万元，完成预算的0 %，决算数较2017年增加0 万元，增长 0 %。决算数较年初预算数增加的主要原因是：无公务用车购置费用；公务用车运行维护费支出年初预算数为2.6万元，决算数为0万元，完成预算的0 %，决算数较2017年增加0 万元增长0%。决算数较年初预算数不变的主要原因是：无财政拨款公务用车运行维护费支出。</w:t>
      </w:r>
    </w:p>
    <w:p>
      <w:pPr>
        <w:ind w:firstLine="630"/>
        <w:jc w:val="left"/>
        <w:rPr>
          <w:rFonts w:hint="eastAsia" w:ascii="黑体" w:hAnsi="黑体" w:eastAsia="黑体"/>
          <w:sz w:val="30"/>
          <w:szCs w:val="30"/>
        </w:rPr>
      </w:pPr>
      <w:r>
        <w:rPr>
          <w:rFonts w:hint="eastAsia" w:ascii="黑体" w:hAnsi="黑体" w:eastAsia="黑体"/>
          <w:sz w:val="30"/>
          <w:szCs w:val="30"/>
        </w:rPr>
        <w:t>六、机关运行经费支出情况说明</w:t>
      </w:r>
    </w:p>
    <w:p>
      <w:pPr>
        <w:ind w:firstLine="630"/>
        <w:jc w:val="left"/>
        <w:rPr>
          <w:rFonts w:hint="eastAsia" w:ascii="仿宋" w:hAnsi="仿宋" w:eastAsia="仿宋"/>
          <w:sz w:val="30"/>
          <w:szCs w:val="30"/>
        </w:rPr>
      </w:pPr>
      <w:r>
        <w:rPr>
          <w:rFonts w:hint="eastAsia" w:ascii="仿宋" w:hAnsi="仿宋" w:eastAsia="仿宋"/>
          <w:sz w:val="30"/>
          <w:szCs w:val="30"/>
        </w:rPr>
        <w:t xml:space="preserve">本部门2018年度机关运行经费支出0万元（与部门决算中行政单位和参照公务员法管理事业单位一般公共预算财政拨款基本支出中公用经费之和保持一致），较年初预算数增加0万元，增长0%，主要原因是：无机关运行经费支出。 </w:t>
      </w:r>
    </w:p>
    <w:p>
      <w:pPr>
        <w:ind w:firstLine="630"/>
        <w:jc w:val="left"/>
        <w:rPr>
          <w:rFonts w:ascii="黑体" w:hAnsi="黑体" w:eastAsia="黑体"/>
          <w:sz w:val="30"/>
          <w:szCs w:val="30"/>
        </w:rPr>
      </w:pPr>
      <w:r>
        <w:rPr>
          <w:rFonts w:hint="eastAsia" w:ascii="黑体" w:hAnsi="黑体" w:eastAsia="黑体"/>
          <w:sz w:val="30"/>
          <w:szCs w:val="30"/>
        </w:rPr>
        <w:t>七、政府采购支出情况说明</w:t>
      </w:r>
    </w:p>
    <w:p>
      <w:pPr>
        <w:pStyle w:val="5"/>
        <w:spacing w:line="600" w:lineRule="atLeast"/>
        <w:ind w:firstLine="600"/>
        <w:rPr>
          <w:rFonts w:hint="eastAsia" w:ascii="仿宋" w:hAnsi="仿宋" w:eastAsia="仿宋"/>
          <w:sz w:val="30"/>
          <w:szCs w:val="30"/>
        </w:rPr>
      </w:pPr>
      <w:r>
        <w:rPr>
          <w:rFonts w:hint="eastAsia" w:ascii="仿宋" w:hAnsi="仿宋" w:eastAsia="仿宋"/>
          <w:sz w:val="30"/>
          <w:szCs w:val="30"/>
        </w:rPr>
        <w:t>本部门2018年度政府采购支出总额0万元，其中：政府采购货物支出0万元、政府采购工程支出0万元、政府采购服务支出0万元。授予中小企业合同金额0万元，占政府采购支出总额的0%，其中：授予小微企业合同金额0万元，占政府采购支出总额的0%。（省级部门公开的政府采购金额的计算口径为：本部门纳入2018年部门预算范围的各项政府采购支出金额之和，并做好与2018年度政府采购信息统计报表中“政府采购资金情况表”有关数据的衔接。）</w:t>
      </w:r>
    </w:p>
    <w:p>
      <w:pPr>
        <w:ind w:firstLine="630"/>
        <w:jc w:val="left"/>
        <w:rPr>
          <w:rFonts w:hint="eastAsia" w:ascii="黑体" w:hAnsi="黑体" w:eastAsia="黑体"/>
          <w:sz w:val="30"/>
          <w:szCs w:val="30"/>
        </w:rPr>
      </w:pPr>
      <w:r>
        <w:rPr>
          <w:rFonts w:hint="eastAsia" w:ascii="黑体" w:hAnsi="黑体" w:eastAsia="黑体"/>
          <w:sz w:val="30"/>
          <w:szCs w:val="30"/>
        </w:rPr>
        <w:t>八、国有资产占用情况说明。</w:t>
      </w:r>
    </w:p>
    <w:p>
      <w:pPr>
        <w:ind w:firstLine="630"/>
        <w:jc w:val="left"/>
        <w:rPr>
          <w:rFonts w:hint="eastAsia" w:ascii="仿宋" w:hAnsi="仿宋" w:eastAsia="仿宋"/>
          <w:kern w:val="0"/>
          <w:sz w:val="30"/>
          <w:szCs w:val="30"/>
        </w:rPr>
      </w:pPr>
      <w:r>
        <w:rPr>
          <w:rFonts w:hint="eastAsia" w:ascii="仿宋" w:hAnsi="仿宋" w:eastAsia="仿宋"/>
          <w:kern w:val="0"/>
          <w:sz w:val="30"/>
          <w:szCs w:val="30"/>
        </w:rPr>
        <w:t>截止2018年12月31日，本部门共有车辆1辆，其中，副部（省）级及以上领导用车0辆、主要领导干部用车0辆、机要通信用车0辆、应急保障用车0辆、执法执勤用车0辆、特种专业技术用车0辆、其他用车1辆，其他用车主要是用于日常工作出行；单位价值50万元以上通用设备0台（套）；单位价值100万元以上专用设备0台（套）。</w:t>
      </w:r>
    </w:p>
    <w:p>
      <w:pPr>
        <w:ind w:firstLine="630"/>
        <w:jc w:val="left"/>
        <w:rPr>
          <w:rFonts w:hint="eastAsia" w:ascii="黑体" w:hAnsi="黑体" w:eastAsia="黑体"/>
          <w:sz w:val="30"/>
          <w:szCs w:val="30"/>
        </w:rPr>
      </w:pPr>
      <w:r>
        <w:rPr>
          <w:rFonts w:hint="eastAsia" w:ascii="黑体" w:hAnsi="黑体" w:eastAsia="黑体"/>
          <w:sz w:val="30"/>
          <w:szCs w:val="30"/>
        </w:rPr>
        <w:t>九、预算绩效情况说明</w:t>
      </w:r>
    </w:p>
    <w:p>
      <w:pPr>
        <w:autoSpaceDE w:val="0"/>
        <w:autoSpaceDN w:val="0"/>
        <w:adjustRightInd w:val="0"/>
        <w:spacing w:line="360" w:lineRule="auto"/>
        <w:jc w:val="left"/>
        <w:rPr>
          <w:rFonts w:hint="eastAsia" w:ascii="仿宋" w:hAnsi="仿宋" w:eastAsia="仿宋" w:cs="仿宋_GB2312"/>
          <w:kern w:val="0"/>
          <w:sz w:val="30"/>
          <w:szCs w:val="30"/>
        </w:rPr>
      </w:pPr>
      <w:r>
        <w:rPr>
          <w:rFonts w:hint="eastAsia" w:ascii="仿宋" w:hAnsi="仿宋" w:eastAsia="仿宋" w:cs="仿宋_GB2312"/>
          <w:kern w:val="0"/>
          <w:sz w:val="30"/>
          <w:szCs w:val="30"/>
        </w:rPr>
        <w:t xml:space="preserve">   （一）绩效管理工作开展情况。</w:t>
      </w:r>
    </w:p>
    <w:p>
      <w:pPr>
        <w:autoSpaceDE w:val="0"/>
        <w:autoSpaceDN w:val="0"/>
        <w:adjustRightInd w:val="0"/>
        <w:spacing w:line="360" w:lineRule="auto"/>
        <w:ind w:firstLine="600"/>
        <w:jc w:val="left"/>
        <w:rPr>
          <w:rFonts w:hint="eastAsia" w:ascii="仿宋" w:hAnsi="仿宋" w:eastAsia="仿宋" w:cs="仿宋_GB2312"/>
          <w:kern w:val="0"/>
          <w:sz w:val="30"/>
          <w:szCs w:val="30"/>
        </w:rPr>
      </w:pPr>
      <w:r>
        <w:rPr>
          <w:rFonts w:hint="eastAsia" w:ascii="仿宋" w:hAnsi="仿宋" w:eastAsia="仿宋" w:cs="仿宋_GB2312"/>
          <w:kern w:val="0"/>
          <w:sz w:val="30"/>
          <w:szCs w:val="30"/>
        </w:rPr>
        <w:t>根据预算绩效管理要求，我部门组织对</w:t>
      </w:r>
      <w:r>
        <w:rPr>
          <w:rFonts w:ascii="仿宋" w:hAnsi="仿宋" w:eastAsia="仿宋" w:cs="仿宋_GB2312"/>
          <w:kern w:val="0"/>
          <w:sz w:val="30"/>
          <w:szCs w:val="30"/>
        </w:rPr>
        <w:t>201</w:t>
      </w:r>
      <w:r>
        <w:rPr>
          <w:rFonts w:hint="eastAsia" w:ascii="仿宋" w:hAnsi="仿宋" w:eastAsia="仿宋" w:cs="仿宋_GB2312"/>
          <w:kern w:val="0"/>
          <w:sz w:val="30"/>
          <w:szCs w:val="30"/>
        </w:rPr>
        <w:t>8年度一般公共预算项目支出全面开展绩效自评，其中，一级项目0个，二级项目</w:t>
      </w:r>
    </w:p>
    <w:p>
      <w:pPr>
        <w:autoSpaceDE w:val="0"/>
        <w:autoSpaceDN w:val="0"/>
        <w:adjustRightInd w:val="0"/>
        <w:spacing w:line="360" w:lineRule="auto"/>
        <w:jc w:val="left"/>
        <w:rPr>
          <w:rFonts w:ascii="仿宋" w:hAnsi="仿宋" w:eastAsia="仿宋" w:cs="仿宋_GB2312"/>
          <w:kern w:val="0"/>
          <w:sz w:val="30"/>
          <w:szCs w:val="30"/>
        </w:rPr>
      </w:pPr>
      <w:r>
        <w:rPr>
          <w:rFonts w:hint="eastAsia" w:ascii="仿宋" w:hAnsi="仿宋" w:eastAsia="仿宋" w:cs="仿宋_GB2312"/>
          <w:kern w:val="0"/>
          <w:sz w:val="30"/>
          <w:szCs w:val="30"/>
        </w:rPr>
        <w:t>0个，共涉及资金0万元，占一般公共预算项目支出总额的0%。</w:t>
      </w:r>
      <w:r>
        <w:rPr>
          <w:rFonts w:hint="eastAsia" w:ascii="仿宋" w:hAnsi="仿宋" w:eastAsia="仿宋"/>
          <w:sz w:val="30"/>
          <w:szCs w:val="30"/>
        </w:rPr>
        <w:t>我院2018年没有项目支出。</w:t>
      </w:r>
    </w:p>
    <w:p>
      <w:pPr>
        <w:ind w:firstLine="600" w:firstLineChars="200"/>
        <w:rPr>
          <w:rFonts w:hint="eastAsia" w:ascii="仿宋" w:hAnsi="仿宋" w:eastAsia="仿宋"/>
          <w:sz w:val="30"/>
          <w:szCs w:val="30"/>
        </w:rPr>
      </w:pPr>
      <w:bookmarkStart w:id="0" w:name="_GoBack"/>
      <w:bookmarkEnd w:id="0"/>
      <w:r>
        <w:rPr>
          <w:rFonts w:hint="eastAsia" w:ascii="仿宋" w:hAnsi="仿宋" w:eastAsia="仿宋" w:cs="仿宋_GB2312"/>
          <w:kern w:val="0"/>
          <w:sz w:val="30"/>
          <w:szCs w:val="30"/>
        </w:rPr>
        <w:t>组织对江益镇中心卫生院开展整体支出绩效评价试点，涉及一般公共预算支出385.75万元，政府性基金预算支出0元。从评价情况来看：</w:t>
      </w:r>
      <w:r>
        <w:rPr>
          <w:rFonts w:hint="eastAsia" w:ascii="仿宋" w:hAnsi="仿宋" w:eastAsia="仿宋"/>
          <w:sz w:val="30"/>
          <w:szCs w:val="30"/>
        </w:rPr>
        <w:t>在市卫健委的领导下，我院认真履行职责，较好地完成了年初确定的各项工作任务，根据《部门整体支出绩效评价指标体系及评分标准表》，自评得分86.7分，自评结果良好。我院将在以后的工作中加强预算管理，严格控制各项经费的开支，提高经费的使用效率。</w:t>
      </w:r>
    </w:p>
    <w:p>
      <w:pPr>
        <w:autoSpaceDE w:val="0"/>
        <w:autoSpaceDN w:val="0"/>
        <w:adjustRightInd w:val="0"/>
        <w:spacing w:line="360" w:lineRule="auto"/>
        <w:jc w:val="left"/>
        <w:rPr>
          <w:rFonts w:ascii="仿宋" w:hAnsi="仿宋" w:eastAsia="仿宋" w:cs="仿宋_GB2312"/>
          <w:kern w:val="0"/>
          <w:sz w:val="30"/>
          <w:szCs w:val="30"/>
        </w:rPr>
      </w:pPr>
    </w:p>
    <w:p>
      <w:pPr>
        <w:autoSpaceDE w:val="0"/>
        <w:autoSpaceDN w:val="0"/>
        <w:adjustRightInd w:val="0"/>
        <w:spacing w:line="360" w:lineRule="auto"/>
        <w:ind w:firstLine="585"/>
        <w:jc w:val="left"/>
        <w:rPr>
          <w:rFonts w:hint="eastAsia" w:ascii="仿宋" w:hAnsi="仿宋" w:eastAsia="仿宋" w:cs="仿宋_GB2312"/>
          <w:kern w:val="0"/>
          <w:sz w:val="30"/>
          <w:szCs w:val="30"/>
        </w:rPr>
      </w:pPr>
      <w:r>
        <w:rPr>
          <w:rFonts w:hint="eastAsia" w:ascii="仿宋" w:hAnsi="仿宋" w:eastAsia="仿宋" w:cs="仿宋_GB2312"/>
          <w:kern w:val="0"/>
          <w:sz w:val="30"/>
          <w:szCs w:val="30"/>
        </w:rPr>
        <w:t>（二）部门决算中项目绩效自评结果（选择1至2个项目）。</w:t>
      </w:r>
    </w:p>
    <w:p>
      <w:pPr>
        <w:ind w:firstLine="600" w:firstLineChars="200"/>
        <w:rPr>
          <w:rFonts w:hint="eastAsia" w:ascii="仿宋" w:hAnsi="仿宋" w:eastAsia="仿宋"/>
          <w:sz w:val="30"/>
          <w:szCs w:val="30"/>
        </w:rPr>
      </w:pPr>
      <w:r>
        <w:rPr>
          <w:rFonts w:hint="eastAsia" w:ascii="仿宋" w:hAnsi="仿宋" w:eastAsia="仿宋"/>
          <w:sz w:val="30"/>
          <w:szCs w:val="30"/>
        </w:rPr>
        <w:t>2018年本部门项目没有开展绩效评价，以后努力改进，聘请第三方机构对项目开展绩效评价，做到公正公平。</w:t>
      </w:r>
    </w:p>
    <w:p>
      <w:pPr>
        <w:ind w:firstLine="640" w:firstLineChars="200"/>
        <w:rPr>
          <w:rFonts w:hint="eastAsia" w:ascii="仿宋_GB2312" w:hAnsi="宋体" w:eastAsia="仿宋_GB2312"/>
          <w:sz w:val="32"/>
          <w:szCs w:val="32"/>
        </w:rPr>
      </w:pPr>
    </w:p>
    <w:p>
      <w:pPr>
        <w:ind w:firstLine="640" w:firstLineChars="200"/>
        <w:rPr>
          <w:rFonts w:hint="eastAsia" w:ascii="仿宋_GB2312" w:hAnsi="宋体" w:eastAsia="仿宋_GB2312"/>
          <w:sz w:val="32"/>
          <w:szCs w:val="32"/>
        </w:rPr>
      </w:pPr>
    </w:p>
    <w:p>
      <w:pPr>
        <w:widowControl/>
        <w:spacing w:line="600" w:lineRule="exact"/>
        <w:ind w:firstLine="640"/>
        <w:jc w:val="center"/>
        <w:rPr>
          <w:rFonts w:hint="eastAsia" w:ascii="宋体" w:hAnsi="宋体"/>
          <w:b/>
          <w:sz w:val="32"/>
          <w:szCs w:val="32"/>
        </w:rPr>
      </w:pPr>
      <w:r>
        <w:rPr>
          <w:rFonts w:hint="eastAsia" w:ascii="宋体" w:hAnsi="宋体"/>
          <w:b/>
          <w:sz w:val="32"/>
          <w:szCs w:val="32"/>
        </w:rPr>
        <w:t>第四部分  名词解释</w:t>
      </w:r>
    </w:p>
    <w:p>
      <w:pPr>
        <w:pStyle w:val="5"/>
        <w:spacing w:line="600" w:lineRule="atLeast"/>
        <w:ind w:firstLine="600"/>
        <w:rPr>
          <w:rFonts w:hint="eastAsia" w:ascii="仿宋" w:hAnsi="仿宋" w:eastAsia="仿宋"/>
          <w:sz w:val="30"/>
          <w:szCs w:val="30"/>
        </w:rPr>
      </w:pPr>
    </w:p>
    <w:p>
      <w:pPr>
        <w:autoSpaceDE w:val="0"/>
        <w:autoSpaceDN w:val="0"/>
        <w:adjustRightInd w:val="0"/>
        <w:spacing w:line="360" w:lineRule="auto"/>
        <w:ind w:firstLine="600" w:firstLineChars="200"/>
        <w:jc w:val="left"/>
        <w:rPr>
          <w:rFonts w:hint="eastAsia" w:ascii="黑体" w:hAnsi="黑体" w:eastAsia="黑体"/>
          <w:sz w:val="30"/>
          <w:szCs w:val="30"/>
        </w:rPr>
      </w:pPr>
      <w:r>
        <w:rPr>
          <w:rFonts w:hint="eastAsia" w:ascii="黑体" w:hAnsi="黑体" w:eastAsia="黑体"/>
          <w:sz w:val="30"/>
          <w:szCs w:val="30"/>
        </w:rPr>
        <w:t>一、收入科目</w:t>
      </w:r>
    </w:p>
    <w:p>
      <w:pPr>
        <w:autoSpaceDE w:val="0"/>
        <w:autoSpaceDN w:val="0"/>
        <w:adjustRightInd w:val="0"/>
        <w:spacing w:line="360" w:lineRule="auto"/>
        <w:ind w:firstLine="600" w:firstLineChars="200"/>
        <w:jc w:val="left"/>
        <w:rPr>
          <w:rFonts w:hint="eastAsia" w:ascii="仿宋" w:hAnsi="仿宋" w:eastAsia="仿宋" w:cs="仿宋_GB2312"/>
          <w:kern w:val="0"/>
          <w:sz w:val="30"/>
          <w:szCs w:val="30"/>
        </w:rPr>
      </w:pPr>
      <w:r>
        <w:rPr>
          <w:rFonts w:hint="eastAsia" w:ascii="仿宋" w:hAnsi="仿宋" w:eastAsia="仿宋" w:cs="仿宋_GB2312"/>
          <w:kern w:val="0"/>
          <w:sz w:val="30"/>
          <w:szCs w:val="30"/>
        </w:rPr>
        <w:t>1、财政拨款：指同级政府财政部门取得的各类财政拨款。</w:t>
      </w:r>
    </w:p>
    <w:p>
      <w:pPr>
        <w:autoSpaceDE w:val="0"/>
        <w:autoSpaceDN w:val="0"/>
        <w:adjustRightInd w:val="0"/>
        <w:spacing w:line="360" w:lineRule="auto"/>
        <w:ind w:firstLine="600" w:firstLineChars="200"/>
        <w:jc w:val="left"/>
        <w:rPr>
          <w:rFonts w:hint="eastAsia" w:ascii="仿宋" w:hAnsi="仿宋" w:eastAsia="仿宋" w:cs="仿宋_GB2312"/>
          <w:kern w:val="0"/>
          <w:sz w:val="30"/>
          <w:szCs w:val="30"/>
        </w:rPr>
      </w:pPr>
      <w:r>
        <w:rPr>
          <w:rFonts w:hint="eastAsia" w:ascii="仿宋" w:hAnsi="仿宋" w:eastAsia="仿宋" w:cs="仿宋_GB2312"/>
          <w:kern w:val="0"/>
          <w:sz w:val="30"/>
          <w:szCs w:val="30"/>
        </w:rPr>
        <w:t>2、事业收入：指开展专业业务活动及辅助活动实现的收入。</w:t>
      </w:r>
    </w:p>
    <w:p>
      <w:pPr>
        <w:autoSpaceDE w:val="0"/>
        <w:autoSpaceDN w:val="0"/>
        <w:adjustRightInd w:val="0"/>
        <w:spacing w:line="360" w:lineRule="auto"/>
        <w:ind w:firstLine="600" w:firstLineChars="200"/>
        <w:jc w:val="left"/>
        <w:rPr>
          <w:rFonts w:hint="eastAsia" w:ascii="仿宋" w:hAnsi="仿宋" w:eastAsia="仿宋" w:cs="仿宋_GB2312"/>
          <w:kern w:val="0"/>
          <w:sz w:val="30"/>
          <w:szCs w:val="30"/>
        </w:rPr>
      </w:pPr>
      <w:r>
        <w:rPr>
          <w:rFonts w:hint="eastAsia" w:ascii="仿宋" w:hAnsi="仿宋" w:eastAsia="仿宋" w:cs="仿宋_GB2312"/>
          <w:kern w:val="0"/>
          <w:sz w:val="30"/>
          <w:szCs w:val="30"/>
        </w:rPr>
        <w:t>3、其他收入：指除财政拨款、事业收入、事业单位经营收入等以外的各项收入。</w:t>
      </w:r>
    </w:p>
    <w:p>
      <w:pPr>
        <w:autoSpaceDE w:val="0"/>
        <w:autoSpaceDN w:val="0"/>
        <w:adjustRightInd w:val="0"/>
        <w:spacing w:line="360" w:lineRule="auto"/>
        <w:ind w:firstLine="600" w:firstLineChars="200"/>
        <w:jc w:val="left"/>
        <w:rPr>
          <w:rFonts w:hint="eastAsia" w:ascii="仿宋" w:hAnsi="仿宋" w:eastAsia="仿宋" w:cs="仿宋_GB2312"/>
          <w:kern w:val="0"/>
          <w:sz w:val="30"/>
          <w:szCs w:val="30"/>
        </w:rPr>
      </w:pPr>
      <w:r>
        <w:rPr>
          <w:rFonts w:hint="eastAsia" w:ascii="仿宋" w:hAnsi="仿宋" w:eastAsia="仿宋" w:cs="仿宋_GB2312"/>
          <w:kern w:val="0"/>
          <w:sz w:val="30"/>
          <w:szCs w:val="30"/>
        </w:rPr>
        <w:t>4、上年结转结余：填列2016年全部结转和结余的资金数，包括当年结转结余资金和历年滚存结转结余资金。</w:t>
      </w:r>
    </w:p>
    <w:p>
      <w:pPr>
        <w:autoSpaceDE w:val="0"/>
        <w:autoSpaceDN w:val="0"/>
        <w:adjustRightInd w:val="0"/>
        <w:spacing w:line="360" w:lineRule="auto"/>
        <w:ind w:firstLine="600" w:firstLineChars="200"/>
        <w:jc w:val="left"/>
        <w:rPr>
          <w:rFonts w:hint="eastAsia" w:ascii="黑体" w:hAnsi="黑体" w:eastAsia="黑体"/>
          <w:sz w:val="30"/>
          <w:szCs w:val="30"/>
        </w:rPr>
      </w:pPr>
      <w:r>
        <w:rPr>
          <w:rFonts w:hint="eastAsia" w:ascii="黑体" w:hAnsi="黑体" w:eastAsia="黑体"/>
          <w:sz w:val="30"/>
          <w:szCs w:val="30"/>
        </w:rPr>
        <w:t>二、支出科目</w:t>
      </w:r>
    </w:p>
    <w:p>
      <w:pPr>
        <w:autoSpaceDE w:val="0"/>
        <w:autoSpaceDN w:val="0"/>
        <w:adjustRightInd w:val="0"/>
        <w:spacing w:line="360" w:lineRule="auto"/>
        <w:ind w:firstLine="600" w:firstLineChars="200"/>
        <w:jc w:val="left"/>
        <w:rPr>
          <w:rFonts w:hint="eastAsia" w:ascii="仿宋" w:hAnsi="仿宋" w:eastAsia="仿宋" w:cs="仿宋_GB2312"/>
          <w:kern w:val="0"/>
          <w:sz w:val="30"/>
          <w:szCs w:val="30"/>
        </w:rPr>
      </w:pPr>
      <w:r>
        <w:rPr>
          <w:rFonts w:hint="eastAsia" w:ascii="仿宋" w:hAnsi="仿宋" w:eastAsia="仿宋" w:cs="仿宋_GB2312"/>
          <w:kern w:val="0"/>
          <w:sz w:val="30"/>
          <w:szCs w:val="30"/>
        </w:rPr>
        <w:t>1、“三公”经费：反映财政拨款安排的因公出国（境）费、公务用车购置及运行费和公务接待费。其中，因公出国（境）费反映单位公务出国（境）的国际旅费、国外城市间交通费、住宿费、伙食费、培训费、公杂费等支出；公务用车购置及运行费反映单位公务用车车辆购置支出（含车辆购置税）及租用费、燃料费、维修费、过路过桥费、保险费、安全奖励费用等支出；公务接待费反映单位按规定开支的各类公务接待（含外宾接待）支出。</w:t>
      </w:r>
    </w:p>
    <w:p>
      <w:pPr>
        <w:ind w:firstLine="600" w:firstLineChars="200"/>
        <w:rPr>
          <w:rFonts w:hint="eastAsia" w:ascii="仿宋" w:hAnsi="仿宋" w:eastAsia="仿宋" w:cs="仿宋_GB2312"/>
          <w:kern w:val="0"/>
          <w:sz w:val="30"/>
          <w:szCs w:val="30"/>
        </w:rPr>
      </w:pPr>
      <w:r>
        <w:rPr>
          <w:rFonts w:hint="eastAsia" w:ascii="仿宋" w:hAnsi="仿宋" w:eastAsia="仿宋" w:cs="仿宋_GB2312"/>
          <w:kern w:val="0"/>
          <w:sz w:val="30"/>
          <w:szCs w:val="30"/>
        </w:rPr>
        <w:t>2、机关运行经费：为保障行政（含参照公务员法管理的事业单位）运行用于购买货物和服务的各项资金，包括办公及印刷费、邮电费、差旅费、会议费、福利费、日常维修费、专用材料及一般设备购置费、办公用房水电费、办公用房取暖费、办公用房物业管理费及其他费用。</w:t>
      </w:r>
    </w:p>
    <w:p>
      <w:pPr>
        <w:spacing w:line="560" w:lineRule="exact"/>
        <w:ind w:firstLine="600" w:firstLineChars="200"/>
        <w:rPr>
          <w:rFonts w:hint="eastAsia" w:ascii="仿宋" w:hAnsi="仿宋" w:eastAsia="仿宋" w:cs="仿宋_GB2312"/>
          <w:kern w:val="0"/>
          <w:sz w:val="30"/>
          <w:szCs w:val="30"/>
        </w:rPr>
      </w:pPr>
      <w:r>
        <w:rPr>
          <w:rFonts w:hint="eastAsia" w:ascii="仿宋" w:hAnsi="仿宋" w:eastAsia="仿宋" w:cs="仿宋_GB2312"/>
          <w:kern w:val="0"/>
          <w:sz w:val="30"/>
          <w:szCs w:val="30"/>
        </w:rPr>
        <w:t>3、工资福利支出：反映单位开支的在职职工的各类劳动报酬，以及为上述人员缴纳的各项社会保险费等。</w:t>
      </w:r>
    </w:p>
    <w:p>
      <w:pPr>
        <w:spacing w:line="560" w:lineRule="exact"/>
        <w:ind w:firstLine="600" w:firstLineChars="200"/>
        <w:rPr>
          <w:rFonts w:hint="eastAsia" w:ascii="仿宋" w:hAnsi="仿宋" w:eastAsia="仿宋" w:cs="仿宋_GB2312"/>
          <w:kern w:val="0"/>
          <w:sz w:val="30"/>
          <w:szCs w:val="30"/>
        </w:rPr>
      </w:pPr>
      <w:r>
        <w:rPr>
          <w:rFonts w:hint="eastAsia" w:ascii="仿宋" w:hAnsi="仿宋" w:eastAsia="仿宋" w:cs="仿宋_GB2312"/>
          <w:kern w:val="0"/>
          <w:sz w:val="30"/>
          <w:szCs w:val="30"/>
        </w:rPr>
        <w:t>4、商品和服务支出：反映单位购买商品和服务的支出，不包括用于购置固定资产的资本性支出。</w:t>
      </w:r>
    </w:p>
    <w:p>
      <w:pPr>
        <w:spacing w:line="560" w:lineRule="exact"/>
        <w:ind w:firstLine="600" w:firstLineChars="200"/>
        <w:rPr>
          <w:rFonts w:hint="eastAsia" w:ascii="仿宋" w:hAnsi="仿宋" w:eastAsia="仿宋" w:cs="仿宋_GB2312"/>
          <w:kern w:val="0"/>
          <w:sz w:val="30"/>
          <w:szCs w:val="30"/>
        </w:rPr>
      </w:pPr>
      <w:r>
        <w:rPr>
          <w:rFonts w:hint="eastAsia" w:ascii="仿宋" w:hAnsi="仿宋" w:eastAsia="仿宋" w:cs="仿宋_GB2312"/>
          <w:kern w:val="0"/>
          <w:sz w:val="30"/>
          <w:szCs w:val="30"/>
        </w:rPr>
        <w:t>5、对个人和家庭的补助：反映单位用于对个人和家庭的补助支出，包括在职职工的公积金费用。</w:t>
      </w:r>
    </w:p>
    <w:p>
      <w:pPr>
        <w:pStyle w:val="2"/>
        <w:shd w:val="clear" w:color="auto" w:fill="FFFFFF"/>
        <w:spacing w:line="480" w:lineRule="auto"/>
        <w:ind w:firstLine="600" w:firstLineChars="200"/>
        <w:rPr>
          <w:rFonts w:hint="eastAsia" w:ascii="仿宋" w:hAnsi="仿宋" w:eastAsia="仿宋" w:cs="仿宋_GB2312"/>
          <w:sz w:val="30"/>
          <w:szCs w:val="30"/>
        </w:rPr>
      </w:pPr>
      <w:r>
        <w:rPr>
          <w:rFonts w:hint="eastAsia" w:ascii="仿宋" w:hAnsi="仿宋" w:eastAsia="仿宋" w:cs="仿宋_GB2312"/>
          <w:sz w:val="30"/>
          <w:szCs w:val="30"/>
        </w:rPr>
        <w:t>6、培训支出：反映各部门安排的用于培训的支出。</w:t>
      </w:r>
    </w:p>
    <w:p>
      <w:pPr>
        <w:pStyle w:val="2"/>
        <w:shd w:val="clear" w:color="auto" w:fill="FFFFFF"/>
        <w:spacing w:line="480" w:lineRule="auto"/>
        <w:ind w:firstLine="630" w:firstLineChars="210"/>
        <w:rPr>
          <w:rFonts w:hint="eastAsia" w:ascii="仿宋" w:hAnsi="仿宋" w:eastAsia="仿宋" w:cs="仿宋_GB2312"/>
          <w:sz w:val="30"/>
          <w:szCs w:val="30"/>
        </w:rPr>
      </w:pPr>
      <w:r>
        <w:rPr>
          <w:rFonts w:hint="eastAsia" w:ascii="仿宋" w:hAnsi="仿宋" w:eastAsia="仿宋" w:cs="仿宋_GB2312"/>
          <w:sz w:val="30"/>
          <w:szCs w:val="30"/>
        </w:rPr>
        <w:t>7、机关事业单位基本养老保险缴费支出：反映机关事业单位实施养老保险制度由单位缴纳的基本养老保险费的支出。</w:t>
      </w:r>
    </w:p>
    <w:p>
      <w:pPr>
        <w:pStyle w:val="2"/>
        <w:shd w:val="clear" w:color="auto" w:fill="FFFFFF"/>
        <w:spacing w:line="480" w:lineRule="auto"/>
        <w:ind w:firstLine="630" w:firstLineChars="210"/>
        <w:rPr>
          <w:rFonts w:hint="eastAsia" w:ascii="仿宋" w:hAnsi="仿宋" w:eastAsia="仿宋" w:cs="仿宋_GB2312"/>
          <w:sz w:val="30"/>
          <w:szCs w:val="30"/>
        </w:rPr>
      </w:pPr>
      <w:r>
        <w:rPr>
          <w:rFonts w:hint="eastAsia" w:ascii="仿宋" w:hAnsi="仿宋" w:eastAsia="仿宋" w:cs="仿宋_GB2312"/>
          <w:sz w:val="30"/>
          <w:szCs w:val="30"/>
        </w:rPr>
        <w:t>8、行政单位医疗：反映行政事业单位基本医疗保险缴费经费。</w:t>
      </w:r>
    </w:p>
    <w:p>
      <w:pPr>
        <w:pStyle w:val="2"/>
        <w:shd w:val="clear" w:color="auto" w:fill="FFFFFF"/>
        <w:spacing w:line="480" w:lineRule="auto"/>
        <w:ind w:firstLine="630" w:firstLineChars="210"/>
        <w:rPr>
          <w:rFonts w:hint="eastAsia" w:ascii="仿宋" w:hAnsi="仿宋" w:eastAsia="仿宋" w:cs="仿宋_GB2312"/>
          <w:sz w:val="30"/>
          <w:szCs w:val="30"/>
        </w:rPr>
      </w:pPr>
      <w:r>
        <w:rPr>
          <w:rFonts w:hint="eastAsia" w:ascii="仿宋" w:hAnsi="仿宋" w:eastAsia="仿宋" w:cs="仿宋_GB2312"/>
          <w:sz w:val="30"/>
          <w:szCs w:val="30"/>
        </w:rPr>
        <w:t>9、事业单位医疗：反映财政部门集中安排的事业单位基本医疗保险缴费经费。</w:t>
      </w:r>
    </w:p>
    <w:p>
      <w:pPr>
        <w:pStyle w:val="2"/>
        <w:shd w:val="clear" w:color="auto" w:fill="FFFFFF"/>
        <w:spacing w:line="480" w:lineRule="auto"/>
        <w:ind w:firstLine="630" w:firstLineChars="210"/>
        <w:rPr>
          <w:rFonts w:hint="eastAsia" w:ascii="仿宋" w:hAnsi="仿宋" w:eastAsia="仿宋" w:cs="仿宋_GB2312"/>
          <w:sz w:val="30"/>
          <w:szCs w:val="30"/>
        </w:rPr>
      </w:pPr>
      <w:r>
        <w:rPr>
          <w:rFonts w:hint="eastAsia" w:ascii="仿宋" w:hAnsi="仿宋" w:eastAsia="仿宋" w:cs="仿宋_GB2312"/>
          <w:sz w:val="30"/>
          <w:szCs w:val="30"/>
        </w:rPr>
        <w:t>10、住房保障支出：住房公积金支出。</w:t>
      </w:r>
    </w:p>
    <w:p>
      <w:pPr>
        <w:pStyle w:val="2"/>
        <w:shd w:val="clear" w:color="auto" w:fill="FFFFFF"/>
        <w:spacing w:line="480" w:lineRule="auto"/>
        <w:ind w:firstLine="630" w:firstLineChars="210"/>
        <w:rPr>
          <w:rFonts w:hint="eastAsia" w:ascii="仿宋" w:hAnsi="仿宋" w:eastAsia="仿宋" w:cs="仿宋_GB2312"/>
          <w:sz w:val="30"/>
          <w:szCs w:val="30"/>
        </w:rPr>
      </w:pPr>
      <w:r>
        <w:rPr>
          <w:rFonts w:hint="eastAsia" w:ascii="仿宋" w:hAnsi="仿宋" w:eastAsia="仿宋" w:cs="仿宋_GB2312"/>
          <w:sz w:val="30"/>
          <w:szCs w:val="30"/>
        </w:rPr>
        <w:t>11、乡镇卫生院支出：反映用于乡镇卫生院的支出。</w:t>
      </w:r>
    </w:p>
    <w:p>
      <w:pPr>
        <w:pStyle w:val="2"/>
        <w:shd w:val="clear" w:color="auto" w:fill="FFFFFF"/>
        <w:spacing w:line="480" w:lineRule="auto"/>
        <w:ind w:firstLine="630" w:firstLineChars="210"/>
        <w:rPr>
          <w:rFonts w:hint="eastAsia" w:ascii="仿宋" w:hAnsi="仿宋" w:eastAsia="仿宋" w:cs="仿宋_GB2312"/>
          <w:sz w:val="30"/>
          <w:szCs w:val="30"/>
        </w:rPr>
      </w:pPr>
      <w:r>
        <w:rPr>
          <w:rFonts w:hint="eastAsia" w:ascii="仿宋" w:hAnsi="仿宋" w:eastAsia="仿宋" w:cs="仿宋_GB2312"/>
          <w:sz w:val="30"/>
          <w:szCs w:val="30"/>
        </w:rPr>
        <w:t>12、其他基层医疗卫生机构支出：反映其他用于基层医疗卫生机构的支出。</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4339E29"/>
    <w:multiLevelType w:val="singleLevel"/>
    <w:tmpl w:val="64339E29"/>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revisionView w:markup="0"/>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1AE1501"/>
    <w:rsid w:val="0FDF5034"/>
    <w:rsid w:val="51AE1501"/>
    <w:rsid w:val="630F3AC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uiPriority w:val="0"/>
    <w:pPr>
      <w:widowControl w:val="0"/>
      <w:jc w:val="both"/>
    </w:pPr>
    <w:rPr>
      <w:rFonts w:ascii="Times New Roman" w:hAnsi="Times New Roman" w:eastAsia="宋体" w:cs="Times New Roman"/>
      <w:kern w:val="2"/>
      <w:sz w:val="21"/>
      <w:lang w:val="en-US" w:eastAsia="zh-CN" w:bidi="ar-SA"/>
    </w:rPr>
  </w:style>
  <w:style w:type="character" w:default="1" w:styleId="4">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Normal (Web)"/>
    <w:basedOn w:val="1"/>
    <w:qFormat/>
    <w:uiPriority w:val="0"/>
    <w:pPr>
      <w:widowControl/>
      <w:jc w:val="left"/>
    </w:pPr>
    <w:rPr>
      <w:rFonts w:ascii="宋体" w:hAnsi="宋体" w:cs="宋体"/>
      <w:kern w:val="0"/>
      <w:sz w:val="24"/>
      <w:szCs w:val="24"/>
    </w:rPr>
  </w:style>
  <w:style w:type="paragraph" w:customStyle="1" w:styleId="5">
    <w:name w:val="p0"/>
    <w:basedOn w:val="1"/>
    <w:qFormat/>
    <w:uiPriority w:val="0"/>
    <w:pPr>
      <w:widowControl/>
    </w:pPr>
    <w:rPr>
      <w:kern w:val="0"/>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9.jpeg"/><Relationship Id="rId11" Type="http://schemas.openxmlformats.org/officeDocument/2006/relationships/image" Target="media/image8.emf"/><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Office_11.1.0.9145_F1E327BC-269C-435d-A152-05C5408002CA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2019-10-29T08:28:00Z</dcterms:created>
  <dc:creator>Administrator</dc:creator>
  <cp:lastModifiedBy>Administrator</cp:lastModifiedBy>
  <dcterms:modified xsi:type="dcterms:W3CDTF">2019-10-29T10:44:56Z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2052-11.1.0.9145</vt:lpwstr>
  </property>
</Properties>
</file>