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526" w:beforeAutospacing="0" w:after="0" w:afterAutospacing="0" w:line="315" w:lineRule="atLeast"/>
        <w:ind w:left="0" w:right="0" w:firstLine="0"/>
        <w:jc w:val="center"/>
        <w:rPr>
          <w:rFonts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共青城市行政审批局202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3</w:t>
      </w:r>
      <w:r>
        <w:rPr>
          <w:rFonts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年政府信息公开工作年度报告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526" w:beforeAutospacing="0" w:after="0" w:afterAutospacing="0" w:line="315" w:lineRule="atLeast"/>
        <w:ind w:left="0" w:right="0" w:firstLine="600" w:firstLineChars="200"/>
        <w:jc w:val="both"/>
        <w:rPr>
          <w:sz w:val="30"/>
          <w:szCs w:val="30"/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本报告依据《中华人民共和国政府信息公开条例》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(国务院令第711号)和国务院办公厅政府信息与政务公开办公室关于印发《中华人民共和国政府信息公开工作年度报告格式》（国办公开办函〔2021〕30号）的通知要求,结合我局政府信息公开工作有关统计数据撰写。报告主要包括:总体情况、主动公开政府信息情况、收到和处理政府信息公开申请情况、政府信息公开行政复议、行政诉讼情况、政府信息公开工作存在主要问题及改进情况和其他需要报告事项。本报告中使用数据统计期限为2023年1月1日至2023年12月31日。报告的电子版可在共青城市人民政府网站"中国共青城"下载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如对本报告有任何疑问，请与共青城市行政审批局办公室联系，电话：0792-4356295。（地址：共青城市市民服务中心5号楼三楼市行政审批局）。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526" w:beforeAutospacing="0" w:after="0" w:afterAutospacing="0" w:line="555" w:lineRule="atLeast"/>
        <w:ind w:left="0" w:right="0" w:firstLine="645"/>
        <w:jc w:val="both"/>
        <w:rPr>
          <w:sz w:val="30"/>
          <w:szCs w:val="30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一、总体情况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526" w:beforeAutospacing="0" w:after="0" w:afterAutospacing="0" w:line="555" w:lineRule="atLeast"/>
        <w:ind w:left="0" w:right="0" w:firstLine="645"/>
        <w:jc w:val="both"/>
        <w:rPr>
          <w:rFonts w:hint="eastAsia" w:eastAsia="仿宋_GB2312"/>
          <w:sz w:val="30"/>
          <w:szCs w:val="30"/>
          <w:lang w:eastAsia="zh-CN"/>
        </w:rPr>
      </w:pPr>
      <w:r>
        <w:rPr>
          <w:rFonts w:ascii="楷体_GB2312" w:hAnsi="微软雅黑" w:eastAsia="楷体_GB2312" w:cs="楷体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（</w:t>
      </w:r>
      <w:r>
        <w:rPr>
          <w:rFonts w:hint="eastAsia" w:ascii="楷体_GB2312" w:hAnsi="微软雅黑" w:eastAsia="楷体_GB2312" w:cs="楷体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一）主动公开。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2023年度共青城市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 w:eastAsia="zh-CN"/>
        </w:rPr>
        <w:t>行政审批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局进一步提升政务服务水平,优化网站内容,按照市政府办统一安排部署,根据“应公开、尽公开”的工作原则,2023年度主动公开政府信息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1248条，深入推进优化营商环境专栏，积极开展政策解读和热点回应，及时回应公众期盼和社会关切，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主动完善试点领域信息公开，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准确传递权威信息和政策意图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526" w:beforeAutospacing="0" w:after="0" w:afterAutospacing="0" w:line="555" w:lineRule="atLeast"/>
        <w:ind w:left="0" w:right="0" w:firstLine="645"/>
        <w:jc w:val="both"/>
        <w:rPr>
          <w:sz w:val="30"/>
          <w:szCs w:val="30"/>
        </w:rPr>
      </w:pPr>
      <w:r>
        <w:rPr>
          <w:rFonts w:hint="eastAsia" w:ascii="楷体_GB2312" w:hAnsi="微软雅黑" w:eastAsia="楷体_GB2312" w:cs="楷体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（二）依申请公开。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2023年，我局共处理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 w:eastAsia="zh-CN"/>
        </w:rPr>
        <w:t>1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件依申请公开事项，做到了准确、及时回复，申请人均表示满意。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526" w:beforeAutospacing="0" w:after="0" w:afterAutospacing="0" w:line="555" w:lineRule="atLeast"/>
        <w:ind w:left="0" w:right="0" w:firstLine="645"/>
        <w:jc w:val="both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</w:pPr>
      <w:r>
        <w:rPr>
          <w:rFonts w:hint="eastAsia" w:ascii="楷体_GB2312" w:hAnsi="微软雅黑" w:eastAsia="楷体_GB2312" w:cs="楷体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（三）政府信息管理。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2023年以来，我局高度重视政府信息公开工作,坚持将政府信息公开工作始终摆在突出位置,列入年度工作要点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,由副局长负责分管确保政务公开工作扎实有效地开展。办公室负责政府信息公开内容的上报、更新、维护、组织协调等日常工作,形成了"一级抓一级""层层抓落实"的工作体制,严格信息发布成宿,逐条把关落实,确保政务服务信息公开工作规范化运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526" w:beforeAutospacing="0" w:after="0" w:afterAutospacing="0" w:line="555" w:lineRule="atLeast"/>
        <w:ind w:left="0" w:right="0" w:firstLine="645"/>
        <w:jc w:val="both"/>
        <w:rPr>
          <w:sz w:val="30"/>
          <w:szCs w:val="30"/>
        </w:rPr>
      </w:pPr>
      <w:r>
        <w:rPr>
          <w:rFonts w:hint="eastAsia" w:ascii="楷体_GB2312" w:hAnsi="微软雅黑" w:eastAsia="楷体_GB2312" w:cs="楷体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（四）政府信息公开平台建设。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2023年，我局及时做好信息公开平台保障工作，做到平台栏目维护更新及时。通过共青城市人民政府门户网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 w:eastAsia="zh-CN"/>
        </w:rPr>
        <w:t>共青城市行政审批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局栏目，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坚持“公开为原则、不公开为例外”和“谁公开、谁负责”的原则，第一时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间准确公开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行政审批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信息，同时向广大市民提供政策法规、政策解读、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 w:eastAsia="zh-CN"/>
        </w:rPr>
        <w:t>政务服务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等咨询服务，大力提升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行政审批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信息社会知晓度和影响力。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526" w:beforeAutospacing="0" w:after="0" w:afterAutospacing="0" w:line="555" w:lineRule="atLeast"/>
        <w:ind w:left="0" w:right="0" w:firstLine="645"/>
        <w:jc w:val="both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</w:pPr>
      <w:r>
        <w:rPr>
          <w:rFonts w:hint="eastAsia" w:ascii="楷体_GB2312" w:hAnsi="微软雅黑" w:eastAsia="楷体_GB2312" w:cs="楷体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（五）监督保障。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我局对政务公开的内容认真梳理，采取灵活多样的形式，将政府信息向社会公布，在信息公开指南中明确提供政府信息获取渠道。规范市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行政审批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局政府信息公开制度，确保不发生泄密事件，并将信息发布工作纳入目标责任管理。强化政务公开监督管理加大政务公开审查力度，提升公示公告、政策信息发布等公示公告发布透明度，接受群众监督。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526" w:beforeAutospacing="0" w:after="0" w:afterAutospacing="0" w:line="555" w:lineRule="atLeast"/>
        <w:ind w:left="0" w:right="0" w:firstLine="645"/>
        <w:jc w:val="both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526" w:beforeAutospacing="0" w:after="0" w:afterAutospacing="0" w:line="555" w:lineRule="atLeast"/>
        <w:ind w:left="0" w:right="0" w:firstLine="645"/>
        <w:jc w:val="both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526" w:beforeAutospacing="0" w:after="0" w:afterAutospacing="0" w:line="555" w:lineRule="atLeast"/>
        <w:ind w:left="0" w:right="0" w:firstLine="645"/>
        <w:jc w:val="both"/>
        <w:rPr>
          <w:sz w:val="30"/>
          <w:szCs w:val="30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二、主动公开政府信息情况</w:t>
      </w:r>
    </w:p>
    <w:tbl>
      <w:tblPr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DDDDDD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03"/>
        <w:gridCol w:w="2103"/>
        <w:gridCol w:w="2103"/>
        <w:gridCol w:w="2117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第二十条第（一）项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信息内容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本年制发件数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本年废止件数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现行有效件数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规章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rPr>
                <w:rFonts w:hint="eastAsia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20"/>
              <w:rPr>
                <w:rFonts w:hint="eastAsia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行政规范性文件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0　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20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第二十条第（五）项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本年处理决定数量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20"/>
              <w:rPr>
                <w:rFonts w:hint="eastAsia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34401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第二十条第（六）项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本年处理决定数量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rPr>
                <w:rFonts w:hint="eastAsia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第二十条第（八）项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本年收费金额（单位：万元）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80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754" w:beforeAutospacing="0" w:after="0" w:afterAutospacing="0" w:line="555" w:lineRule="atLeast"/>
        <w:ind w:left="0" w:right="0" w:firstLine="0"/>
        <w:jc w:val="left"/>
        <w:rPr>
          <w:sz w:val="30"/>
          <w:szCs w:val="3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526" w:beforeAutospacing="0" w:after="0" w:afterAutospacing="0" w:line="555" w:lineRule="atLeast"/>
        <w:ind w:left="0" w:right="0" w:firstLine="645"/>
        <w:jc w:val="both"/>
        <w:rPr>
          <w:sz w:val="30"/>
          <w:szCs w:val="30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三、收到和处理政府信息公开申请情况</w:t>
      </w:r>
    </w:p>
    <w:tbl>
      <w:tblPr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DDDDDD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5"/>
        <w:gridCol w:w="1155"/>
        <w:gridCol w:w="1712"/>
        <w:gridCol w:w="683"/>
        <w:gridCol w:w="654"/>
        <w:gridCol w:w="654"/>
        <w:gridCol w:w="654"/>
        <w:gridCol w:w="654"/>
        <w:gridCol w:w="654"/>
        <w:gridCol w:w="706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12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rPr>
                <w:sz w:val="30"/>
                <w:szCs w:val="30"/>
              </w:rPr>
            </w:pPr>
            <w:r>
              <w:rPr>
                <w:rFonts w:ascii="楷体" w:hAnsi="楷体" w:eastAsia="楷体" w:cs="楷体"/>
                <w:sz w:val="21"/>
                <w:szCs w:val="21"/>
                <w:bdr w:val="none" w:color="auto" w:sz="0" w:space="0"/>
              </w:rPr>
              <w:t>（本列数据的勾稽关系为：第一项加第二项之和，等于第三项加第四项之和）</w:t>
            </w:r>
          </w:p>
        </w:tc>
        <w:tc>
          <w:tcPr>
            <w:tcW w:w="4659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申请人情况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12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83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right="0"/>
              <w:jc w:val="both"/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自然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right="0"/>
              <w:jc w:val="both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人</w:t>
            </w:r>
          </w:p>
        </w:tc>
        <w:tc>
          <w:tcPr>
            <w:tcW w:w="327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法人或其他组织</w:t>
            </w:r>
          </w:p>
        </w:tc>
        <w:tc>
          <w:tcPr>
            <w:tcW w:w="706" w:type="dxa"/>
            <w:vMerge w:val="restart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right="0"/>
              <w:jc w:val="both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总计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12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8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right="0"/>
              <w:jc w:val="both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商业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right="0"/>
              <w:jc w:val="both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企业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right="0"/>
              <w:jc w:val="both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科研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right="0"/>
              <w:jc w:val="both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机构</w:t>
            </w:r>
          </w:p>
        </w:tc>
        <w:tc>
          <w:tcPr>
            <w:tcW w:w="65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right="0"/>
              <w:jc w:val="both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社会公益组织</w:t>
            </w:r>
          </w:p>
        </w:tc>
        <w:tc>
          <w:tcPr>
            <w:tcW w:w="65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right="0"/>
              <w:jc w:val="both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法律服务机构</w:t>
            </w:r>
          </w:p>
        </w:tc>
        <w:tc>
          <w:tcPr>
            <w:tcW w:w="65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right="0"/>
              <w:jc w:val="both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其他</w:t>
            </w:r>
          </w:p>
        </w:tc>
        <w:tc>
          <w:tcPr>
            <w:tcW w:w="706" w:type="dxa"/>
            <w:vMerge w:val="continue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12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一、本年新收政府信息公开申请数量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 w:firstLine="405" w:firstLineChars="0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rFonts w:hint="eastAsia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12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二、上年结转政府信息公开申请数量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5" w:type="dxa"/>
            <w:vMerge w:val="restart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三、本年度办理结果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（一）予以公开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5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86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（二）部分公开</w:t>
            </w:r>
            <w:r>
              <w:rPr>
                <w:rFonts w:hint="eastAsia" w:ascii="楷体" w:hAnsi="楷体" w:eastAsia="楷体" w:cs="楷体"/>
                <w:sz w:val="21"/>
                <w:szCs w:val="21"/>
                <w:bdr w:val="none" w:color="auto" w:sz="0" w:space="0"/>
              </w:rPr>
              <w:t>（区分处理的，只计这一情形，不计其他情形）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5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55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（三）不予公开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1.属于国家秘密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0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5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55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2.其他法律行政法规禁止公开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5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55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3.危及“三安全一稳定”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5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55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4.保护第三方合法权益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5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55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5.属于三类内部事务信息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5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55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6.属于四类过程性信息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5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55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7.属于行政执法案卷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5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55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8.属于行政查询事项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5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55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（四）无法提供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1.本机关不掌握相关政府信息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5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55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2.没有现成信息需要另行制作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5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55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3.补正后申请内容仍不明确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5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55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（五）不予处理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1.信访举报投诉类申请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5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55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2.重复申请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5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55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3.要求提供公开出版物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5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55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4.无正当理由大量反复申请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945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55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both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5.要求行政机关确认或重新出具已获取信息</w:t>
            </w:r>
          </w:p>
        </w:tc>
        <w:tc>
          <w:tcPr>
            <w:tcW w:w="683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5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55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（六）其他处理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both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1.申请人无正当理由逾期不补正、行政机关不再处理其政府信息公开申请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5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55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both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2.申请人逾期未按收费通知要求缴纳费用、行政机关不再处理其政府信息公开申请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5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55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3.其他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5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86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（七）总计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 w:firstLine="405" w:firstLineChars="0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 w:firstLine="405" w:firstLineChars="0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12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四、结转下年度继续办理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80"/>
              <w:jc w:val="center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754" w:beforeAutospacing="0" w:after="0" w:afterAutospacing="0" w:line="555" w:lineRule="atLeast"/>
        <w:ind w:right="0"/>
        <w:jc w:val="both"/>
        <w:rPr>
          <w:sz w:val="30"/>
          <w:szCs w:val="30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四、政府信息公开行政复议、行政诉讼情况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 </w:t>
      </w:r>
    </w:p>
    <w:tbl>
      <w:tblPr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DDDDDD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596"/>
        <w:gridCol w:w="567"/>
        <w:gridCol w:w="567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10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3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行政复议</w:t>
            </w:r>
          </w:p>
        </w:tc>
        <w:tc>
          <w:tcPr>
            <w:tcW w:w="5622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行政诉讼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38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right="0"/>
              <w:jc w:val="both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结果维持</w:t>
            </w:r>
          </w:p>
        </w:tc>
        <w:tc>
          <w:tcPr>
            <w:tcW w:w="596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right="0"/>
              <w:jc w:val="both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结果</w:t>
            </w:r>
            <w:r>
              <w:rPr>
                <w:rFonts w:hint="eastAsia" w:ascii="宋体" w:hAnsi="宋体" w:eastAsia="宋体" w:cs="宋体"/>
                <w:sz w:val="30"/>
                <w:szCs w:val="3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纠正</w:t>
            </w:r>
          </w:p>
        </w:tc>
        <w:tc>
          <w:tcPr>
            <w:tcW w:w="567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right="0"/>
              <w:jc w:val="both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其他</w:t>
            </w:r>
            <w:r>
              <w:rPr>
                <w:rFonts w:hint="eastAsia" w:ascii="宋体" w:hAnsi="宋体" w:eastAsia="宋体" w:cs="宋体"/>
                <w:sz w:val="30"/>
                <w:szCs w:val="3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结果</w:t>
            </w:r>
          </w:p>
        </w:tc>
        <w:tc>
          <w:tcPr>
            <w:tcW w:w="567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right="0"/>
              <w:jc w:val="both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尚未</w:t>
            </w:r>
            <w:r>
              <w:rPr>
                <w:rFonts w:hint="eastAsia" w:ascii="宋体" w:hAnsi="宋体" w:eastAsia="宋体" w:cs="宋体"/>
                <w:sz w:val="30"/>
                <w:szCs w:val="3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审结</w:t>
            </w:r>
          </w:p>
        </w:tc>
        <w:tc>
          <w:tcPr>
            <w:tcW w:w="568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right="0"/>
              <w:jc w:val="both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总计</w:t>
            </w:r>
          </w:p>
        </w:tc>
        <w:tc>
          <w:tcPr>
            <w:tcW w:w="284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both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未经复议直接起诉</w:t>
            </w:r>
          </w:p>
        </w:tc>
        <w:tc>
          <w:tcPr>
            <w:tcW w:w="2782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both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复议后起诉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3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9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68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right="0"/>
              <w:jc w:val="both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结果</w:t>
            </w:r>
            <w:r>
              <w:rPr>
                <w:rFonts w:hint="eastAsia" w:ascii="宋体" w:hAnsi="宋体" w:eastAsia="宋体" w:cs="宋体"/>
                <w:sz w:val="30"/>
                <w:szCs w:val="3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维持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right="0"/>
              <w:jc w:val="both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结果</w:t>
            </w:r>
            <w:r>
              <w:rPr>
                <w:rFonts w:hint="eastAsia" w:ascii="宋体" w:hAnsi="宋体" w:eastAsia="宋体" w:cs="宋体"/>
                <w:sz w:val="30"/>
                <w:szCs w:val="3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纠正</w:t>
            </w:r>
          </w:p>
        </w:tc>
        <w:tc>
          <w:tcPr>
            <w:tcW w:w="56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right="0"/>
              <w:jc w:val="both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其他</w:t>
            </w:r>
            <w:r>
              <w:rPr>
                <w:rFonts w:hint="eastAsia" w:ascii="宋体" w:hAnsi="宋体" w:eastAsia="宋体" w:cs="宋体"/>
                <w:sz w:val="30"/>
                <w:szCs w:val="3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结果</w:t>
            </w:r>
          </w:p>
        </w:tc>
        <w:tc>
          <w:tcPr>
            <w:tcW w:w="56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right="0"/>
              <w:jc w:val="both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尚未</w:t>
            </w:r>
            <w:r>
              <w:rPr>
                <w:rFonts w:hint="eastAsia" w:ascii="宋体" w:hAnsi="宋体" w:eastAsia="宋体" w:cs="宋体"/>
                <w:sz w:val="30"/>
                <w:szCs w:val="3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审结</w:t>
            </w:r>
          </w:p>
        </w:tc>
        <w:tc>
          <w:tcPr>
            <w:tcW w:w="56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right="0"/>
              <w:jc w:val="both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总计</w:t>
            </w:r>
          </w:p>
        </w:tc>
        <w:tc>
          <w:tcPr>
            <w:tcW w:w="56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right="0"/>
              <w:jc w:val="both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结果</w:t>
            </w:r>
            <w:r>
              <w:rPr>
                <w:rFonts w:hint="eastAsia" w:ascii="宋体" w:hAnsi="宋体" w:eastAsia="宋体" w:cs="宋体"/>
                <w:sz w:val="30"/>
                <w:szCs w:val="3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维持</w:t>
            </w:r>
          </w:p>
        </w:tc>
        <w:tc>
          <w:tcPr>
            <w:tcW w:w="56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right="0"/>
              <w:jc w:val="both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结果</w:t>
            </w:r>
            <w:r>
              <w:rPr>
                <w:rFonts w:hint="eastAsia" w:ascii="宋体" w:hAnsi="宋体" w:eastAsia="宋体" w:cs="宋体"/>
                <w:sz w:val="30"/>
                <w:szCs w:val="3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纠正</w:t>
            </w:r>
          </w:p>
        </w:tc>
        <w:tc>
          <w:tcPr>
            <w:tcW w:w="56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right="0"/>
              <w:jc w:val="both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其他</w:t>
            </w:r>
            <w:r>
              <w:rPr>
                <w:rFonts w:hint="eastAsia" w:ascii="宋体" w:hAnsi="宋体" w:eastAsia="宋体" w:cs="宋体"/>
                <w:sz w:val="30"/>
                <w:szCs w:val="3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结果</w:t>
            </w:r>
          </w:p>
        </w:tc>
        <w:tc>
          <w:tcPr>
            <w:tcW w:w="56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right="0"/>
              <w:jc w:val="both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尚未</w:t>
            </w:r>
            <w:r>
              <w:rPr>
                <w:rFonts w:hint="eastAsia" w:ascii="宋体" w:hAnsi="宋体" w:eastAsia="宋体" w:cs="宋体"/>
                <w:sz w:val="30"/>
                <w:szCs w:val="3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审结</w:t>
            </w:r>
          </w:p>
        </w:tc>
        <w:tc>
          <w:tcPr>
            <w:tcW w:w="5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right="0"/>
              <w:jc w:val="both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总计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53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right="0"/>
              <w:jc w:val="both"/>
              <w:rPr>
                <w:sz w:val="30"/>
                <w:szCs w:val="30"/>
              </w:rPr>
            </w:pPr>
            <w:r>
              <w:rPr>
                <w:rFonts w:hint="eastAsia" w:ascii="黑体" w:hAnsi="宋体" w:eastAsia="黑体" w:cs="黑体"/>
                <w:sz w:val="21"/>
                <w:szCs w:val="21"/>
                <w:bdr w:val="none" w:color="auto" w:sz="0" w:space="0"/>
              </w:rPr>
              <w:t>0 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right="0"/>
              <w:jc w:val="both"/>
              <w:rPr>
                <w:sz w:val="30"/>
                <w:szCs w:val="30"/>
              </w:rPr>
            </w:pPr>
            <w:r>
              <w:rPr>
                <w:rFonts w:hint="eastAsia" w:ascii="黑体" w:hAnsi="宋体" w:eastAsia="黑体" w:cs="黑体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right="0"/>
              <w:jc w:val="both"/>
              <w:rPr>
                <w:sz w:val="30"/>
                <w:szCs w:val="30"/>
              </w:rPr>
            </w:pPr>
            <w:r>
              <w:rPr>
                <w:rFonts w:hint="eastAsia" w:ascii="黑体" w:hAnsi="宋体" w:eastAsia="黑体" w:cs="黑体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right="0"/>
              <w:jc w:val="both"/>
              <w:rPr>
                <w:sz w:val="30"/>
                <w:szCs w:val="30"/>
              </w:rPr>
            </w:pPr>
            <w:r>
              <w:rPr>
                <w:rFonts w:hint="eastAsia" w:ascii="黑体" w:hAnsi="宋体" w:eastAsia="黑体" w:cs="黑体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right="0"/>
              <w:jc w:val="both"/>
              <w:rPr>
                <w:sz w:val="30"/>
                <w:szCs w:val="30"/>
              </w:rPr>
            </w:pPr>
            <w:r>
              <w:rPr>
                <w:rFonts w:hint="eastAsia" w:ascii="黑体" w:hAnsi="宋体" w:eastAsia="黑体" w:cs="黑体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right="0"/>
              <w:jc w:val="both"/>
              <w:rPr>
                <w:sz w:val="30"/>
                <w:szCs w:val="30"/>
              </w:rPr>
            </w:pPr>
            <w:r>
              <w:rPr>
                <w:rFonts w:hint="eastAsia" w:ascii="黑体" w:hAnsi="宋体" w:eastAsia="黑体" w:cs="黑体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right="0"/>
              <w:jc w:val="both"/>
              <w:rPr>
                <w:sz w:val="30"/>
                <w:szCs w:val="30"/>
              </w:rPr>
            </w:pPr>
            <w:r>
              <w:rPr>
                <w:rFonts w:hint="eastAsia" w:ascii="黑体" w:hAnsi="宋体" w:eastAsia="黑体" w:cs="黑体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right="0"/>
              <w:jc w:val="both"/>
              <w:rPr>
                <w:sz w:val="30"/>
                <w:szCs w:val="30"/>
              </w:rPr>
            </w:pPr>
            <w:r>
              <w:rPr>
                <w:rFonts w:hint="eastAsia" w:ascii="黑体" w:hAnsi="宋体" w:eastAsia="黑体" w:cs="黑体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right="0"/>
              <w:jc w:val="both"/>
              <w:rPr>
                <w:sz w:val="30"/>
                <w:szCs w:val="30"/>
              </w:rPr>
            </w:pPr>
            <w:r>
              <w:rPr>
                <w:rFonts w:hint="eastAsia" w:ascii="黑体" w:hAnsi="宋体" w:eastAsia="黑体" w:cs="黑体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right="0"/>
              <w:jc w:val="both"/>
              <w:rPr>
                <w:sz w:val="30"/>
                <w:szCs w:val="30"/>
              </w:rPr>
            </w:pPr>
            <w:r>
              <w:rPr>
                <w:rFonts w:hint="eastAsia" w:ascii="黑体" w:hAnsi="宋体" w:eastAsia="黑体" w:cs="黑体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right="0"/>
              <w:jc w:val="both"/>
              <w:rPr>
                <w:sz w:val="30"/>
                <w:szCs w:val="30"/>
              </w:rPr>
            </w:pPr>
            <w:r>
              <w:rPr>
                <w:rFonts w:hint="eastAsia" w:ascii="黑体" w:hAnsi="宋体" w:eastAsia="黑体" w:cs="黑体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right="0"/>
              <w:jc w:val="both"/>
              <w:rPr>
                <w:sz w:val="30"/>
                <w:szCs w:val="30"/>
              </w:rPr>
            </w:pPr>
            <w:r>
              <w:rPr>
                <w:rFonts w:hint="eastAsia" w:ascii="黑体" w:hAnsi="宋体" w:eastAsia="黑体" w:cs="黑体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right="0"/>
              <w:jc w:val="both"/>
              <w:rPr>
                <w:sz w:val="30"/>
                <w:szCs w:val="30"/>
              </w:rPr>
            </w:pPr>
            <w:r>
              <w:rPr>
                <w:rFonts w:hint="eastAsia" w:ascii="黑体" w:hAnsi="宋体" w:eastAsia="黑体" w:cs="黑体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right="0"/>
              <w:jc w:val="both"/>
              <w:rPr>
                <w:sz w:val="30"/>
                <w:szCs w:val="30"/>
              </w:rPr>
            </w:pPr>
            <w:r>
              <w:rPr>
                <w:rFonts w:hint="eastAsia" w:ascii="黑体" w:hAnsi="宋体" w:eastAsia="黑体" w:cs="黑体"/>
                <w:sz w:val="21"/>
                <w:szCs w:val="21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right="0"/>
              <w:jc w:val="both"/>
              <w:rPr>
                <w:rFonts w:hint="eastAsia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526" w:beforeAutospacing="0" w:after="0" w:afterAutospacing="0" w:line="555" w:lineRule="atLeast"/>
        <w:ind w:left="0" w:right="0" w:firstLine="645"/>
        <w:jc w:val="both"/>
        <w:rPr>
          <w:sz w:val="30"/>
          <w:szCs w:val="30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五、存在的主要问题及改进情况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526" w:beforeAutospacing="0" w:after="0" w:afterAutospacing="0" w:line="555" w:lineRule="atLeast"/>
        <w:ind w:left="0" w:right="0" w:firstLine="645"/>
        <w:jc w:val="both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2023年，我局政府信息公开工作取得了一定的成绩，但对照上级要求，还存在一定差距。比如，政策解读方式较为单一，习惯于运用文稿解读等老办法，致使解读材料过于专业，影响群众对政策的理解。下一步我们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将在使用通俗易懂的语言进行文稿解读的同时，综合运用图片、图表、图解、视频等方式让群众易理解、广知晓。。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526" w:beforeAutospacing="0" w:after="0" w:afterAutospacing="0" w:line="555" w:lineRule="atLeast"/>
        <w:ind w:left="0" w:right="0" w:firstLine="645"/>
        <w:jc w:val="both"/>
        <w:rPr>
          <w:sz w:val="30"/>
          <w:szCs w:val="30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六、其他需要报告的事项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526" w:beforeAutospacing="0" w:after="0" w:afterAutospacing="0" w:line="555" w:lineRule="atLeast"/>
        <w:ind w:left="0" w:right="0" w:firstLine="645"/>
        <w:jc w:val="both"/>
        <w:rPr>
          <w:sz w:val="30"/>
          <w:szCs w:val="30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2023年度我局政府信息公开申请未向申请人收取任何费用。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754" w:beforeAutospacing="0" w:after="0" w:afterAutospacing="0" w:line="600" w:lineRule="atLeast"/>
        <w:ind w:left="0" w:right="0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3OWM4OWI0NzQ1YjM2NDU2ZjM5NjRkNzBjNzkzM2IifQ=="/>
  </w:docVars>
  <w:rsids>
    <w:rsidRoot w:val="00000000"/>
    <w:rsid w:val="00B769EE"/>
    <w:rsid w:val="01E2240F"/>
    <w:rsid w:val="03716AB5"/>
    <w:rsid w:val="0A5F13F2"/>
    <w:rsid w:val="0F5A1BE8"/>
    <w:rsid w:val="15BC5381"/>
    <w:rsid w:val="235710E3"/>
    <w:rsid w:val="305118D2"/>
    <w:rsid w:val="3D4A2551"/>
    <w:rsid w:val="4AAD7E38"/>
    <w:rsid w:val="5C642116"/>
    <w:rsid w:val="708D4ADD"/>
    <w:rsid w:val="7CED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  <w:style w:type="paragraph" w:styleId="6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7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2024-01-22T02:17:25Z</dcterms:created>
  <dc:creator>Administrator</dc:creator>
  <cp:lastModifiedBy>BLACK</cp:lastModifiedBy>
  <dcterms:modified xsi:type="dcterms:W3CDTF">2024-01-22T08:22:17Z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74E60B38825C4775BCFBA7FB50D22FB6_12</vt:lpwstr>
  </property>
</Properties>
</file>