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2C2BF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0" w:afterAutospacing="0" w:line="360" w:lineRule="atLeast"/>
        <w:ind w:left="0" w:right="0"/>
        <w:jc w:val="center"/>
        <w:rPr>
          <w:rStyle w:val="9"/>
          <w:rFonts w:hint="eastAsia" w:ascii="Times New Roman" w:hAnsi="Times New Roman" w:eastAsia="黑体" w:cs="Times New Roman"/>
          <w:b w:val="0"/>
          <w:bCs/>
          <w:i w:val="0"/>
          <w:caps w:val="0"/>
          <w:color w:val="000000" w:themeColor="text1"/>
          <w:spacing w:val="23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Times New Roman" w:hAnsi="Times New Roman" w:eastAsia="黑体" w:cs="Times New Roman"/>
          <w:b w:val="0"/>
          <w:bCs/>
          <w:i w:val="0"/>
          <w:caps w:val="0"/>
          <w:color w:val="000000" w:themeColor="text1"/>
          <w:spacing w:val="23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共青城市土地征收成片开发方案</w:t>
      </w:r>
    </w:p>
    <w:p w14:paraId="4139481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0" w:afterAutospacing="0" w:line="360" w:lineRule="atLeast"/>
        <w:ind w:left="0" w:right="0"/>
        <w:jc w:val="center"/>
        <w:rPr>
          <w:rStyle w:val="9"/>
          <w:rFonts w:hint="default" w:ascii="Times New Roman" w:hAnsi="Times New Roman" w:eastAsia="黑体" w:cs="Times New Roman"/>
          <w:b w:val="0"/>
          <w:bCs/>
          <w:i w:val="0"/>
          <w:caps w:val="0"/>
          <w:color w:val="000000" w:themeColor="text1"/>
          <w:spacing w:val="23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Times New Roman" w:hAnsi="Times New Roman" w:eastAsia="黑体" w:cs="Times New Roman"/>
          <w:b w:val="0"/>
          <w:bCs/>
          <w:i w:val="0"/>
          <w:caps w:val="0"/>
          <w:color w:val="000000" w:themeColor="text1"/>
          <w:spacing w:val="23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（2024—2025年</w:t>
      </w:r>
      <w:r>
        <w:rPr>
          <w:rStyle w:val="9"/>
          <w:rFonts w:hint="default" w:ascii="Times New Roman" w:hAnsi="Times New Roman" w:eastAsia="黑体" w:cs="Times New Roman"/>
          <w:b w:val="0"/>
          <w:bCs/>
          <w:i w:val="0"/>
          <w:caps w:val="0"/>
          <w:color w:val="000000" w:themeColor="text1"/>
          <w:spacing w:val="23"/>
          <w:sz w:val="36"/>
          <w:szCs w:val="36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6F8563C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0" w:afterAutospacing="0" w:line="360" w:lineRule="atLeast"/>
        <w:ind w:left="0" w:right="0"/>
        <w:jc w:val="center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(公示草案)</w:t>
      </w:r>
    </w:p>
    <w:p w14:paraId="5D39D3E2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一、编制依据</w:t>
      </w:r>
    </w:p>
    <w:p w14:paraId="794C3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依据《中华人民共和国土地管理法》（2019年8月26日修正）、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eastAsia="zh-CN"/>
        </w:rPr>
        <w:t>自然资源部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《土地征收成片开发标准》（自然资规〔2023〕7号）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、江西省人民政府办公厅《关于执行土地征收成片开发标准（试行）的指导意见》（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赣府厅发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〔202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〕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号）、《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共青城市城市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总体规划（201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-203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》等编制《</w:t>
      </w:r>
      <w:r>
        <w:rPr>
          <w:rFonts w:hint="eastAsia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共青城市土地征收成片开发方案（2024—2025年）</w:t>
      </w:r>
      <w:r>
        <w:rPr>
          <w:rFonts w:hint="default" w:ascii="Times New Roman" w:hAnsi="Times New Roman" w:eastAsia="仿宋_GB2312" w:cs="Times New Roman"/>
          <w:color w:val="000000" w:themeColor="text1"/>
          <w:spacing w:val="8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》。</w:t>
      </w:r>
    </w:p>
    <w:p w14:paraId="00588B39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二、基本情况</w:t>
      </w:r>
    </w:p>
    <w:p w14:paraId="478CF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仿宋" w:cs="Times New Roman"/>
          <w:color w:val="000000"/>
          <w:sz w:val="28"/>
          <w:highlight w:val="none"/>
        </w:rPr>
      </w:pP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本次成片开发范围涉及2个区片,即城北片区和城南片区,位于</w:t>
      </w:r>
      <w:r>
        <w:rPr>
          <w:rFonts w:hint="eastAsia" w:ascii="仿宋" w:hAnsi="仿宋" w:eastAsia="仿宋" w:cs="仿宋"/>
          <w:sz w:val="28"/>
          <w:szCs w:val="28"/>
        </w:rPr>
        <w:t>甘露镇、共青民主农业公司和江益镇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,成片开发范围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1</w:t>
      </w:r>
      <w:r>
        <w:rPr>
          <w:rFonts w:hint="eastAsia" w:ascii="Times New Roman" w:hAnsi="Times New Roman" w:cs="Times New Roman"/>
          <w:color w:val="000000"/>
          <w:sz w:val="28"/>
          <w:highlight w:val="none"/>
          <w:lang w:val="en-US" w:eastAsia="zh-CN"/>
        </w:rPr>
        <w:t>69.7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公顷(</w:t>
      </w:r>
      <w:r>
        <w:rPr>
          <w:rFonts w:hint="eastAsia" w:ascii="Times New Roman" w:hAnsi="Times New Roman" w:cs="Times New Roman"/>
          <w:color w:val="000000"/>
          <w:sz w:val="28"/>
          <w:highlight w:val="none"/>
          <w:lang w:val="en-US" w:eastAsia="zh-CN"/>
        </w:rPr>
        <w:t>2545.46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亩)。(成片开发范围以最终批复为准)</w:t>
      </w:r>
    </w:p>
    <w:p w14:paraId="0C55A4FC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三、成片开发的必要性</w:t>
      </w:r>
    </w:p>
    <w:p w14:paraId="22976078"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“十四五”时期，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共青城市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深入落实省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委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二十四字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工作思路、高质量跨越式发展首要战略，坚持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做强产业、聚集人气、激活双创、促进统筹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的发展思路，坚持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开放走在最前沿、服务抢占制高点、产业聚集中高端、城市创建绿富美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，持之以恒招项目、促落地、优环境、抓落实，活力实力美丽幸福共青建设取得更大成效，奋力描绘好新时代共青城改革发展新画卷。共青城市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为做好与相关规划的协调衔接，优化国土空间开发格局，结合“十四五”规划重点建设项目和202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4—2025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年工作计划，合理布局生产、生活、生态空间，为更好保障社会经济良好发展，确保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共青城市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重大项目用地需求，完成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城镇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发展及产业用地转型升级，有必要依法依规启动土地征收成片开发方案编制工作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2CEAA0C4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四、土地用途分析</w:t>
      </w:r>
    </w:p>
    <w:p w14:paraId="13BC40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仿宋" w:cs="Times New Roman"/>
          <w:color w:val="000000"/>
          <w:sz w:val="28"/>
          <w:highlight w:val="none"/>
        </w:rPr>
      </w:pP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城北片区安排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产业开发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项目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6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个,面积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23.49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公顷;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商业开发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项目1个,面积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6.</w:t>
      </w:r>
      <w:r>
        <w:rPr>
          <w:rFonts w:hint="eastAsia" w:ascii="Times New Roman" w:hAnsi="Times New Roman" w:cs="Times New Roman"/>
          <w:color w:val="000000"/>
          <w:sz w:val="28"/>
          <w:highlight w:val="none"/>
          <w:lang w:val="en-US" w:eastAsia="zh-CN"/>
        </w:rPr>
        <w:t>29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公顷。</w:t>
      </w:r>
    </w:p>
    <w:p w14:paraId="2284D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仿宋" w:cs="Times New Roman"/>
          <w:color w:val="000000"/>
          <w:sz w:val="28"/>
          <w:highlight w:val="none"/>
        </w:rPr>
      </w:pP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城南片区安排商业开发项目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个,面积15.9</w:t>
      </w:r>
      <w:r>
        <w:rPr>
          <w:rFonts w:hint="eastAsia" w:ascii="Times New Roman" w:hAnsi="Times New Roman" w:cs="Times New Roman"/>
          <w:color w:val="000000"/>
          <w:sz w:val="28"/>
          <w:highlight w:val="none"/>
          <w:lang w:val="en-US" w:eastAsia="zh-CN"/>
        </w:rPr>
        <w:t>7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公顷;物流仓储项目1个,面积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7.7</w:t>
      </w:r>
      <w:r>
        <w:rPr>
          <w:rFonts w:hint="eastAsia" w:ascii="Times New Roman" w:hAnsi="Times New Roman" w:cs="Times New Roman"/>
          <w:color w:val="000000"/>
          <w:sz w:val="28"/>
          <w:highlight w:val="none"/>
          <w:lang w:val="en-US" w:eastAsia="zh-CN"/>
        </w:rPr>
        <w:t>3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公顷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eastAsia="zh-CN"/>
        </w:rPr>
        <w:t>；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开发项目4个，面积4</w:t>
      </w:r>
      <w:r>
        <w:rPr>
          <w:rFonts w:hint="eastAsia" w:ascii="Times New Roman" w:hAnsi="Times New Roman" w:cs="Times New Roman"/>
          <w:color w:val="000000"/>
          <w:sz w:val="28"/>
          <w:highlight w:val="none"/>
          <w:lang w:val="en-US" w:eastAsia="zh-CN"/>
        </w:rPr>
        <w:t>6.99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  <w:lang w:val="en-US" w:eastAsia="zh-CN"/>
        </w:rPr>
        <w:t>公顷</w:t>
      </w:r>
      <w:r>
        <w:rPr>
          <w:rFonts w:hint="eastAsia" w:ascii="Times New Roman" w:hAnsi="Times New Roman" w:eastAsia="仿宋" w:cs="Times New Roman"/>
          <w:color w:val="000000"/>
          <w:sz w:val="28"/>
          <w:highlight w:val="none"/>
        </w:rPr>
        <w:t>。</w:t>
      </w:r>
    </w:p>
    <w:p w14:paraId="35CA5534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五、公益性用地情况</w:t>
      </w:r>
    </w:p>
    <w:p w14:paraId="768B6C08"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成片开发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范围内城镇社区服务设施用途、公共管理与公共服务用途、绿地与开敞空间用途、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公共设施用地、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交通运输用途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和特殊用地等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属于公益性用地，片区公益性占比详见下表，符合江西省人民政府办公厅《关于执行土地征收成片开发标准（试行）的指导意见》（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赣府厅发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〔202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〕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号）公益性用地占比要求。</w:t>
      </w:r>
    </w:p>
    <w:p w14:paraId="5DF673EA">
      <w:pPr>
        <w:rPr>
          <w:rFonts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br w:type="page"/>
      </w:r>
    </w:p>
    <w:p w14:paraId="41AA44A4">
      <w:pPr>
        <w:jc w:val="center"/>
        <w:rPr>
          <w:rFonts w:hint="default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成片开发范围内公益性用地比例情况表</w:t>
      </w:r>
    </w:p>
    <w:p w14:paraId="5F826472">
      <w:pPr>
        <w:jc w:val="right"/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单位：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公顷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%</w:t>
      </w:r>
    </w:p>
    <w:tbl>
      <w:tblPr>
        <w:tblStyle w:val="6"/>
        <w:tblpPr w:leftFromText="180" w:rightFromText="180" w:vertAnchor="text" w:horzAnchor="page" w:tblpX="1854" w:tblpY="429"/>
        <w:tblOverlap w:val="never"/>
        <w:tblW w:w="94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3398"/>
        <w:gridCol w:w="1579"/>
        <w:gridCol w:w="1213"/>
        <w:gridCol w:w="1622"/>
      </w:tblGrid>
      <w:tr w14:paraId="027A8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61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DA2E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片区名称</w:t>
            </w:r>
          </w:p>
        </w:tc>
        <w:tc>
          <w:tcPr>
            <w:tcW w:w="339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388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公益类别</w:t>
            </w:r>
          </w:p>
        </w:tc>
        <w:tc>
          <w:tcPr>
            <w:tcW w:w="157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08F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公益用地面积</w:t>
            </w:r>
          </w:p>
        </w:tc>
        <w:tc>
          <w:tcPr>
            <w:tcW w:w="121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BCE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片区开发面积</w:t>
            </w:r>
          </w:p>
        </w:tc>
        <w:tc>
          <w:tcPr>
            <w:tcW w:w="162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30C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公益性用地占区片范围用地比例</w:t>
            </w:r>
          </w:p>
        </w:tc>
      </w:tr>
      <w:tr w14:paraId="6EBA6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83F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城北片区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1563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城镇道路用地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4F68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12.26 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FE6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49.72 </w:t>
            </w:r>
          </w:p>
        </w:tc>
        <w:tc>
          <w:tcPr>
            <w:tcW w:w="162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46A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40.09%</w:t>
            </w:r>
          </w:p>
        </w:tc>
      </w:tr>
      <w:tr w14:paraId="5CEDE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B4B0A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237D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C69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7.67 </w:t>
            </w:r>
          </w:p>
        </w:tc>
        <w:tc>
          <w:tcPr>
            <w:tcW w:w="1213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B6B84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22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C4354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D3516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E1245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966F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72DC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19.93 </w:t>
            </w:r>
          </w:p>
        </w:tc>
        <w:tc>
          <w:tcPr>
            <w:tcW w:w="1213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6BF0F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22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D257F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F2DEC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4F9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城南片区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D0B5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城镇道路用地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F60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16.51 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9DA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119.98 </w:t>
            </w:r>
          </w:p>
        </w:tc>
        <w:tc>
          <w:tcPr>
            <w:tcW w:w="1622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416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41.09%</w:t>
            </w:r>
          </w:p>
        </w:tc>
      </w:tr>
      <w:tr w14:paraId="00D3D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A749F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1B2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C301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24.58 </w:t>
            </w:r>
          </w:p>
        </w:tc>
        <w:tc>
          <w:tcPr>
            <w:tcW w:w="1213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AA31C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22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69333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DB8C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24004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89E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公共设施</w:t>
            </w:r>
            <w:r>
              <w:rPr>
                <w:rFonts w:hint="eastAsia" w:ascii="仿宋" w:hAnsi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用地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AD2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4.26 </w:t>
            </w:r>
          </w:p>
        </w:tc>
        <w:tc>
          <w:tcPr>
            <w:tcW w:w="1213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C172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22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D9152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DB3F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01780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39C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绿地与开敞空间</w:t>
            </w:r>
            <w:r>
              <w:rPr>
                <w:rFonts w:hint="eastAsia" w:ascii="仿宋" w:hAnsi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用地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7AE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3.95 </w:t>
            </w:r>
          </w:p>
        </w:tc>
        <w:tc>
          <w:tcPr>
            <w:tcW w:w="1213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BD19C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22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28C7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84BE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61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D4D55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0A0A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469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49.30 </w:t>
            </w:r>
          </w:p>
        </w:tc>
        <w:tc>
          <w:tcPr>
            <w:tcW w:w="1213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7C418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22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A3227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500B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5012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8D4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157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11BB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69.23 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BEF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169.70 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B549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40.80%</w:t>
            </w:r>
          </w:p>
        </w:tc>
      </w:tr>
    </w:tbl>
    <w:p w14:paraId="3DF67D39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六、规划符合情况</w:t>
      </w:r>
    </w:p>
    <w:p w14:paraId="4A776FD4"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本方案符合国民经济和社会发展规划的发展定位、要求，有利于完成规划目标、任务，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成片开发相关项目已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纳入国民经济和社会发展年度计划。</w:t>
      </w:r>
    </w:p>
    <w:p w14:paraId="009E85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成片开发范围均位于城镇开发边界集中建设区内。</w:t>
      </w:r>
    </w:p>
    <w:p w14:paraId="61C6EDEE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七、征地农民利益保障</w:t>
      </w:r>
    </w:p>
    <w:p w14:paraId="63204417"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为维护被征地农民和农村集体经济组织的合法权益，规范征地补偿程序，根据《中华人民共和国土地管理法》、江西省人民政府《关于公布全省征地区片综合地价的通知》（赣府字〔2020〕9号）、参照江西省自然资源厅印发《关于执行土地征收成片开发标准的指导意见（试行）》（征求意见稿）等文件规定开展工作。</w:t>
      </w:r>
    </w:p>
    <w:p w14:paraId="34CB0DF9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4C3E9D9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八、结论</w:t>
      </w:r>
    </w:p>
    <w:p w14:paraId="14700E88">
      <w:pPr>
        <w:bidi w:val="0"/>
        <w:ind w:firstLine="560" w:firstLineChars="200"/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共青城市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土地征收成片开发方案（202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4—2025</w:t>
      </w:r>
      <w:r>
        <w:rPr>
          <w:rFonts w:hint="eastAsia" w:ascii="Times New Roman" w:hAnsi="Times New Roman" w:cs="Times New Roman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年）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》符合自然资源部及江西省自然资源厅关于土地征收“成片开发”的</w:t>
      </w: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相关要求</w:t>
      </w:r>
      <w:r>
        <w:rPr>
          <w:rFonts w:hint="default"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7BCD03F7">
      <w:pPr>
        <w:pStyle w:val="3"/>
        <w:bidi w:val="0"/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附图</w:t>
      </w:r>
    </w:p>
    <w:p w14:paraId="0F520EB8">
      <w:pPr>
        <w:rPr>
          <w:rFonts w:hint="eastAsia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  <w:br w:type="page"/>
      </w:r>
    </w:p>
    <w:p w14:paraId="2E882F77">
      <w:pPr>
        <w:pStyle w:val="2"/>
        <w:jc w:val="center"/>
        <w:rPr>
          <w:rFonts w:hint="eastAsia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0" w:right="0" w:bottom="0" w:left="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552055" cy="10671810"/>
            <wp:effectExtent l="0" t="0" r="6985" b="11430"/>
            <wp:docPr id="2" name="图片 2" descr="共青城市土地征收成片开发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共青城市土地征收成片开发方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ADBA">
      <w:pPr>
        <w:rPr>
          <w:rFonts w:hint="eastAsia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552055" cy="10671810"/>
            <wp:effectExtent l="0" t="0" r="6985" b="11430"/>
            <wp:docPr id="3" name="图片 3" descr="44547aa42996cbd7d2494e24a396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547aa42996cbd7d2494e24a3960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jMTg5NzJkNmU3ZWIwMjZlZjNhM2JjNDhlMTYxY2UifQ=="/>
  </w:docVars>
  <w:rsids>
    <w:rsidRoot w:val="24133F00"/>
    <w:rsid w:val="01804A4C"/>
    <w:rsid w:val="01954485"/>
    <w:rsid w:val="03453C48"/>
    <w:rsid w:val="03FD4132"/>
    <w:rsid w:val="042F4508"/>
    <w:rsid w:val="066B7070"/>
    <w:rsid w:val="07541C4C"/>
    <w:rsid w:val="07B47158"/>
    <w:rsid w:val="096D58B6"/>
    <w:rsid w:val="0B780373"/>
    <w:rsid w:val="0C3923C8"/>
    <w:rsid w:val="0CBB7639"/>
    <w:rsid w:val="0E12547F"/>
    <w:rsid w:val="0F061D4B"/>
    <w:rsid w:val="0FDE7D68"/>
    <w:rsid w:val="10936117"/>
    <w:rsid w:val="10F230B4"/>
    <w:rsid w:val="13D34EB0"/>
    <w:rsid w:val="152964C1"/>
    <w:rsid w:val="152E2B95"/>
    <w:rsid w:val="15457423"/>
    <w:rsid w:val="15A861C9"/>
    <w:rsid w:val="16ED34E7"/>
    <w:rsid w:val="173E6AE4"/>
    <w:rsid w:val="17BC3B3D"/>
    <w:rsid w:val="17E4224C"/>
    <w:rsid w:val="1A79495F"/>
    <w:rsid w:val="1AAE0ADE"/>
    <w:rsid w:val="1C4C2F55"/>
    <w:rsid w:val="1C78723E"/>
    <w:rsid w:val="1CFF6449"/>
    <w:rsid w:val="1D2A0A29"/>
    <w:rsid w:val="1DC81C1D"/>
    <w:rsid w:val="1FB36E3D"/>
    <w:rsid w:val="20505AC4"/>
    <w:rsid w:val="216F4A80"/>
    <w:rsid w:val="220B576F"/>
    <w:rsid w:val="22EF3DD6"/>
    <w:rsid w:val="240D11A8"/>
    <w:rsid w:val="24133F00"/>
    <w:rsid w:val="257A33DD"/>
    <w:rsid w:val="265B3A27"/>
    <w:rsid w:val="27456A02"/>
    <w:rsid w:val="27581443"/>
    <w:rsid w:val="278E020F"/>
    <w:rsid w:val="28114B4B"/>
    <w:rsid w:val="28CE3855"/>
    <w:rsid w:val="28CF57EE"/>
    <w:rsid w:val="294A3F37"/>
    <w:rsid w:val="299F78B6"/>
    <w:rsid w:val="29F8727E"/>
    <w:rsid w:val="2B2D0EF2"/>
    <w:rsid w:val="2C0F4464"/>
    <w:rsid w:val="2C5129BE"/>
    <w:rsid w:val="2C5807BB"/>
    <w:rsid w:val="2D7C3A6A"/>
    <w:rsid w:val="2DAA05D8"/>
    <w:rsid w:val="2DC31699"/>
    <w:rsid w:val="2E7010F7"/>
    <w:rsid w:val="2E857661"/>
    <w:rsid w:val="2F98068A"/>
    <w:rsid w:val="2FA6569B"/>
    <w:rsid w:val="2FED3DE1"/>
    <w:rsid w:val="303D090E"/>
    <w:rsid w:val="31AB0719"/>
    <w:rsid w:val="32A221C5"/>
    <w:rsid w:val="33CD330B"/>
    <w:rsid w:val="34CB5B1B"/>
    <w:rsid w:val="353D22BD"/>
    <w:rsid w:val="355D17FD"/>
    <w:rsid w:val="36AC3612"/>
    <w:rsid w:val="371F5B92"/>
    <w:rsid w:val="37A34358"/>
    <w:rsid w:val="387A4BC2"/>
    <w:rsid w:val="387D33AA"/>
    <w:rsid w:val="3ADD73B5"/>
    <w:rsid w:val="3BC21632"/>
    <w:rsid w:val="3D332764"/>
    <w:rsid w:val="3D4E6757"/>
    <w:rsid w:val="3D930823"/>
    <w:rsid w:val="3D9357AE"/>
    <w:rsid w:val="3DBD15A4"/>
    <w:rsid w:val="3EC666D0"/>
    <w:rsid w:val="3EFE1E41"/>
    <w:rsid w:val="40722D26"/>
    <w:rsid w:val="40A65860"/>
    <w:rsid w:val="41574CC1"/>
    <w:rsid w:val="42B23D5F"/>
    <w:rsid w:val="43E943E6"/>
    <w:rsid w:val="43F50436"/>
    <w:rsid w:val="45A748E4"/>
    <w:rsid w:val="47464984"/>
    <w:rsid w:val="47525B10"/>
    <w:rsid w:val="486B6D16"/>
    <w:rsid w:val="489C320B"/>
    <w:rsid w:val="48EC7A5D"/>
    <w:rsid w:val="4C1C225D"/>
    <w:rsid w:val="4C276BC0"/>
    <w:rsid w:val="4C6F4A6E"/>
    <w:rsid w:val="4D183358"/>
    <w:rsid w:val="4D3C7234"/>
    <w:rsid w:val="4DFB2056"/>
    <w:rsid w:val="4F326E51"/>
    <w:rsid w:val="507B6ED0"/>
    <w:rsid w:val="50A37BAB"/>
    <w:rsid w:val="545310A8"/>
    <w:rsid w:val="54752A66"/>
    <w:rsid w:val="574D100E"/>
    <w:rsid w:val="5776049C"/>
    <w:rsid w:val="57890A05"/>
    <w:rsid w:val="59246BE1"/>
    <w:rsid w:val="592B28B5"/>
    <w:rsid w:val="5A3A15EA"/>
    <w:rsid w:val="5A563E62"/>
    <w:rsid w:val="5C832A46"/>
    <w:rsid w:val="5D9500AD"/>
    <w:rsid w:val="5E544E6C"/>
    <w:rsid w:val="5FD00309"/>
    <w:rsid w:val="603C3E6A"/>
    <w:rsid w:val="60C72C73"/>
    <w:rsid w:val="62264693"/>
    <w:rsid w:val="644840CB"/>
    <w:rsid w:val="64B9700F"/>
    <w:rsid w:val="654A7FF4"/>
    <w:rsid w:val="65AB2B63"/>
    <w:rsid w:val="67240E08"/>
    <w:rsid w:val="6CC917C0"/>
    <w:rsid w:val="6E957850"/>
    <w:rsid w:val="6F410095"/>
    <w:rsid w:val="6F6611EB"/>
    <w:rsid w:val="7187015B"/>
    <w:rsid w:val="72C963D7"/>
    <w:rsid w:val="730C4C97"/>
    <w:rsid w:val="735760D9"/>
    <w:rsid w:val="748A6806"/>
    <w:rsid w:val="74F60385"/>
    <w:rsid w:val="751C7A1A"/>
    <w:rsid w:val="7727130E"/>
    <w:rsid w:val="77C24A29"/>
    <w:rsid w:val="788B2295"/>
    <w:rsid w:val="7BD5403F"/>
    <w:rsid w:val="7DC6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黑体" w:asciiTheme="minorAscii" w:hAnsiTheme="minorAscii"/>
      <w:sz w:val="30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仿宋"/>
      <w:b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after="120"/>
    </w:p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p0"/>
    <w:basedOn w:val="1"/>
    <w:qFormat/>
    <w:uiPriority w:val="0"/>
    <w:pPr>
      <w:widowControl/>
      <w:spacing w:line="440" w:lineRule="atLeast"/>
      <w:ind w:firstLine="420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1250</Words>
  <Characters>1389</Characters>
  <Lines>0</Lines>
  <Paragraphs>0</Paragraphs>
  <TotalTime>17</TotalTime>
  <ScaleCrop>false</ScaleCrop>
  <LinksUpToDate>false</LinksUpToDate>
  <CharactersWithSpaces>1401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2021-07-22T09:50:00Z</dcterms:created>
  <dc:creator>Administrator</dc:creator>
  <cp:lastModifiedBy>刘进</cp:lastModifiedBy>
  <dcterms:modified xsi:type="dcterms:W3CDTF">2024-07-11T08:22:45Z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73269A9A72534BEBBA89344A204AA638_13</vt:lpwstr>
  </property>
</Properties>
</file>